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C8523F" w14:textId="77777777" w:rsidR="0049621B" w:rsidRDefault="00DD2DA8" w:rsidP="0049621B">
      <w:pPr>
        <w:spacing w:before="120" w:after="80"/>
      </w:pPr>
      <w:r>
        <w:t xml:space="preserve"> </w:t>
      </w:r>
      <w:r w:rsidR="0049621B">
        <w:rPr>
          <w:b/>
          <w:bCs/>
          <w:color w:val="2E6DA4"/>
          <w:sz w:val="32"/>
          <w:szCs w:val="32"/>
        </w:rPr>
        <w:t>[Full Article Title: Concise, Informative, and Reflecting the Study's Scope]</w:t>
      </w:r>
    </w:p>
    <w:p w14:paraId="7408153F" w14:textId="77777777" w:rsidR="0049621B" w:rsidRDefault="0049621B" w:rsidP="0049621B">
      <w:pPr>
        <w:spacing w:before="60" w:after="40"/>
      </w:pPr>
      <w:r>
        <w:rPr>
          <w:b/>
          <w:bCs/>
          <w:sz w:val="22"/>
          <w:szCs w:val="22"/>
        </w:rPr>
        <w:t>Author One</w:t>
      </w:r>
      <w:proofErr w:type="gramStart"/>
      <w:r>
        <w:rPr>
          <w:b/>
          <w:bCs/>
          <w:sz w:val="18"/>
          <w:szCs w:val="18"/>
          <w:vertAlign w:val="superscript"/>
        </w:rPr>
        <w:t>1,*</w:t>
      </w:r>
      <w:proofErr w:type="gramEnd"/>
      <w:r>
        <w:rPr>
          <w:b/>
          <w:bCs/>
          <w:sz w:val="22"/>
          <w:szCs w:val="22"/>
        </w:rPr>
        <w:t>, Author Two</w:t>
      </w:r>
      <w:r>
        <w:rPr>
          <w:b/>
          <w:bCs/>
          <w:sz w:val="18"/>
          <w:szCs w:val="18"/>
          <w:vertAlign w:val="superscript"/>
        </w:rPr>
        <w:t>2</w:t>
      </w:r>
      <w:r>
        <w:rPr>
          <w:b/>
          <w:bCs/>
          <w:sz w:val="22"/>
          <w:szCs w:val="22"/>
        </w:rPr>
        <w:t>, Author Three</w:t>
      </w:r>
      <w:r>
        <w:rPr>
          <w:b/>
          <w:bCs/>
          <w:sz w:val="18"/>
          <w:szCs w:val="18"/>
          <w:vertAlign w:val="superscript"/>
        </w:rPr>
        <w:t>3</w:t>
      </w:r>
    </w:p>
    <w:p w14:paraId="75241455" w14:textId="77777777" w:rsidR="0049621B" w:rsidRDefault="0049621B" w:rsidP="0049621B">
      <w:pPr>
        <w:spacing w:before="20" w:after="20"/>
      </w:pPr>
      <w:r>
        <w:rPr>
          <w:i/>
          <w:iCs/>
          <w:sz w:val="19"/>
          <w:szCs w:val="19"/>
          <w:vertAlign w:val="superscript"/>
        </w:rPr>
        <w:t>1</w:t>
      </w:r>
      <w:r>
        <w:rPr>
          <w:i/>
          <w:iCs/>
          <w:sz w:val="19"/>
          <w:szCs w:val="19"/>
        </w:rPr>
        <w:t xml:space="preserve"> Department of [Department Name], [Institution Name], [City], [State/Province] [Postal Code], [Country]</w:t>
      </w:r>
    </w:p>
    <w:p w14:paraId="042D0A3A" w14:textId="77777777" w:rsidR="0049621B" w:rsidRDefault="0049621B" w:rsidP="0049621B">
      <w:pPr>
        <w:spacing w:before="20" w:after="20"/>
      </w:pPr>
      <w:r>
        <w:rPr>
          <w:i/>
          <w:iCs/>
          <w:sz w:val="19"/>
          <w:szCs w:val="19"/>
          <w:vertAlign w:val="superscript"/>
        </w:rPr>
        <w:t>2</w:t>
      </w:r>
      <w:r>
        <w:rPr>
          <w:i/>
          <w:iCs/>
          <w:sz w:val="19"/>
          <w:szCs w:val="19"/>
        </w:rPr>
        <w:t xml:space="preserve"> [Department/Centre Name], [Institution Name], [City], [Country]</w:t>
      </w:r>
    </w:p>
    <w:p w14:paraId="4EEE0499" w14:textId="77777777" w:rsidR="0049621B" w:rsidRDefault="0049621B" w:rsidP="0049621B">
      <w:pPr>
        <w:spacing w:before="20" w:after="30"/>
      </w:pPr>
      <w:r>
        <w:rPr>
          <w:i/>
          <w:iCs/>
          <w:sz w:val="19"/>
          <w:szCs w:val="19"/>
          <w:vertAlign w:val="superscript"/>
        </w:rPr>
        <w:t>3</w:t>
      </w:r>
      <w:r>
        <w:rPr>
          <w:i/>
          <w:iCs/>
          <w:sz w:val="19"/>
          <w:szCs w:val="19"/>
        </w:rPr>
        <w:t xml:space="preserve"> [School/Department Name], [Institution Name], [City], [Country]</w:t>
      </w:r>
    </w:p>
    <w:p w14:paraId="1C333DE5" w14:textId="77777777" w:rsidR="0049621B" w:rsidRDefault="0049621B" w:rsidP="0049621B">
      <w:pPr>
        <w:spacing w:before="20" w:after="100"/>
      </w:pPr>
      <w:r>
        <w:rPr>
          <w:b/>
          <w:bCs/>
        </w:rPr>
        <w:t xml:space="preserve">* Corresponding author: </w:t>
      </w:r>
      <w:r>
        <w:t>corresponding.author@institution.ac.in</w:t>
      </w:r>
    </w:p>
    <w:p w14:paraId="07D4F4F7" w14:textId="77777777" w:rsidR="0049621B" w:rsidRDefault="0049621B" w:rsidP="0049621B">
      <w:pPr>
        <w:spacing w:after="80"/>
        <w:rPr>
          <w:b/>
          <w:bCs/>
          <w:sz w:val="18"/>
          <w:szCs w:val="18"/>
        </w:rPr>
      </w:pPr>
    </w:p>
    <w:p w14:paraId="0A433395" w14:textId="44DA5AAA" w:rsidR="0049621B" w:rsidRDefault="0049621B" w:rsidP="0049621B">
      <w:pPr>
        <w:spacing w:after="80"/>
      </w:pPr>
      <w:r>
        <w:rPr>
          <w:b/>
          <w:bCs/>
          <w:sz w:val="18"/>
          <w:szCs w:val="18"/>
        </w:rPr>
        <w:t>A B S T R A C T</w:t>
      </w:r>
    </w:p>
    <w:p w14:paraId="170DDA4B" w14:textId="4F1E957F" w:rsidR="0049621B" w:rsidRPr="0049621B" w:rsidRDefault="0049621B" w:rsidP="0049621B">
      <w:pPr>
        <w:spacing w:after="200" w:line="360" w:lineRule="auto"/>
        <w:jc w:val="both"/>
        <w:rPr>
          <w:b/>
          <w:bCs/>
        </w:rPr>
      </w:pPr>
      <w:r w:rsidRPr="0049621B">
        <w:rPr>
          <w:b/>
          <w:bCs/>
          <w:sz w:val="19"/>
          <w:szCs w:val="19"/>
        </w:rPr>
        <w:t>Integrating heterogeneous biological data with artificial intelligence has emerged as a promising direction for early and personalised disease risk prediction. In this study we propose a hybrid Transformer-Graph Neural Network (T-GNN) framework that jointly learns from genomic, transcriptomic and proteomic signals while explicitly encoding the underlying biological interaction graph. The transformer encoder captures long-range dependencies across omics tokens, whereas a multi-layer graph convolutional module propagates information along protein-protein and gene regulatory edges. An attention-based fusion head then produces a calibrated per-patient risk score. Experiments on three public TCGA cohorts (breast, lung and colorectal) show that the proposed framework achieves a mean AUROC of 0.912 and an expected calibration error of 0.041, outperforming seven recent deep learning baselines by 3.8-7.2 percentage points in AUROC. A detailed ablation study confirms that both the graph prior and the attention fusion head contribute independently to performance, while SHAP-based interpretability analysis recovers clinically validated risk markers. The results suggest that biologically-informed attention architectures can serve as a practical foundation for next-generation clinical decision support in precision medicine.</w:t>
      </w:r>
    </w:p>
    <w:p w14:paraId="51602EB8" w14:textId="77777777" w:rsidR="00B67853" w:rsidRDefault="00DD2DA8">
      <w:pPr>
        <w:spacing w:before="200"/>
      </w:pPr>
      <w:r>
        <w:t xml:space="preserve"> </w:t>
      </w:r>
    </w:p>
    <w:p w14:paraId="60901B8D" w14:textId="77777777" w:rsidR="00BE36F0" w:rsidRDefault="00BE36F0">
      <w:pPr>
        <w:pStyle w:val="Heading1"/>
        <w:sectPr w:rsidR="00BE36F0">
          <w:footerReference w:type="default" r:id="rId7"/>
          <w:pgSz w:w="11906" w:h="16838"/>
          <w:pgMar w:top="1080" w:right="1080" w:bottom="1440" w:left="1080" w:header="708" w:footer="708" w:gutter="0"/>
          <w:cols w:space="720"/>
          <w:docGrid w:linePitch="360"/>
        </w:sectPr>
      </w:pPr>
    </w:p>
    <w:p w14:paraId="71ED2BBF" w14:textId="77777777" w:rsidR="00B67853" w:rsidRDefault="00DD2DA8">
      <w:pPr>
        <w:pStyle w:val="Heading1"/>
      </w:pPr>
      <w:r>
        <w:t>1. Introduction</w:t>
      </w:r>
    </w:p>
    <w:p w14:paraId="32B43599" w14:textId="77777777" w:rsidR="00B67853" w:rsidRDefault="00DD2DA8">
      <w:pPr>
        <w:spacing w:after="80" w:line="260" w:lineRule="auto"/>
        <w:jc w:val="both"/>
      </w:pPr>
      <w:r>
        <w:t xml:space="preserve">The rapid accumulation of high-throughput biological data has fundamentally reshaped modern healthcare research. Whole-genome sequencing, RNA expression profiling and mass-spectrometry-based proteomics are now routinely performed at population scale, producing immense volumes of heterogeneous information that no clinician can interpret manually [1,2]. At the same time, advances in deep learning have enabled models that extract meaningful patterns from such data, giving rise to what the present journal refers to as </w:t>
      </w:r>
      <w:proofErr w:type="spellStart"/>
      <w:r>
        <w:t>BioDigital</w:t>
      </w:r>
      <w:proofErr w:type="spellEnd"/>
      <w:r>
        <w:t xml:space="preserve"> Intelligence — the systematic convergence of life sciences with advanced computational methods [3].</w:t>
      </w:r>
    </w:p>
    <w:p w14:paraId="4679081F" w14:textId="77777777" w:rsidR="00B67853" w:rsidRDefault="00DD2DA8">
      <w:pPr>
        <w:spacing w:after="80" w:line="260" w:lineRule="auto"/>
        <w:ind w:firstLine="240"/>
        <w:jc w:val="both"/>
      </w:pPr>
      <w:r>
        <w:t>Despite this progress, a central obstacle remains: individual omics layers capture only a partial view of disease biology, and models trained on a single modality seldom generalise to new cohorts [4,5]. Several recent works have explored multi-omics integration, but most treat the input as a flat feature vector and ignore the rich interaction topology that underlies cellular processes [6,7]. As a result, existing methods often achieve competitive accuracy on discovery cohorts while producing poorly calibrated probabilities and limited biological interpretability [8,9].</w:t>
      </w:r>
    </w:p>
    <w:p w14:paraId="2C39696D" w14:textId="77777777" w:rsidR="00B67853" w:rsidRDefault="00DD2DA8">
      <w:pPr>
        <w:spacing w:after="80" w:line="260" w:lineRule="auto"/>
        <w:ind w:firstLine="240"/>
        <w:jc w:val="both"/>
      </w:pPr>
      <w:r>
        <w:t xml:space="preserve">In this paper we address these limitations through a hybrid architecture that combines the representational flexibility of transformers [10,11] with the structural bias </w:t>
      </w:r>
      <w:r>
        <w:t>of graph neural networks [12,13]. Our contributions are fourfold: (</w:t>
      </w:r>
      <w:proofErr w:type="spellStart"/>
      <w:r>
        <w:t>i</w:t>
      </w:r>
      <w:proofErr w:type="spellEnd"/>
      <w:r>
        <w:t>) a unified tokenisation scheme for three omics modalities, (ii) an interaction-aware GNN module seeded from STRING [14] and KEGG [15], (iii) an attention fusion head with temperature scaling [16] for calibrated risk estimation, and (iv) a reproducible benchmark on three TCGA cohorts [17] with open code and pretrained weights.</w:t>
      </w:r>
    </w:p>
    <w:p w14:paraId="318E3E1C" w14:textId="77777777" w:rsidR="00B67853" w:rsidRDefault="00DD2DA8">
      <w:pPr>
        <w:pStyle w:val="Heading1"/>
      </w:pPr>
      <w:r>
        <w:t>2. Related work</w:t>
      </w:r>
    </w:p>
    <w:p w14:paraId="38F184E6" w14:textId="77777777" w:rsidR="00B67853" w:rsidRDefault="00DD2DA8">
      <w:pPr>
        <w:spacing w:after="80" w:line="260" w:lineRule="auto"/>
        <w:jc w:val="both"/>
      </w:pPr>
      <w:r>
        <w:t>Early multi-omics methods relied on classical fusion strategies such as canonical correlation analysis and similarity network fusion [6]. These approaches provide useful baselines but struggle with non-linear interactions. Deep variational autoencoders [7] later offered an end-to-end alternative, yet typically ignored biological priors. More recent transformer-based models have demonstrated strong results on tabular and sequential omics data [11,18], while graph neural networks have proven effective when molecular interaction information is available [12,19,20]. Few studies, however, have combined both families under a single training objective [21].</w:t>
      </w:r>
    </w:p>
    <w:p w14:paraId="24844565" w14:textId="77777777" w:rsidR="00B67853" w:rsidRDefault="00DD2DA8">
      <w:pPr>
        <w:pStyle w:val="Heading2"/>
      </w:pPr>
      <w:r>
        <w:t>2.1. Transformer models in omics</w:t>
      </w:r>
    </w:p>
    <w:p w14:paraId="0167055E" w14:textId="77777777" w:rsidR="00B67853" w:rsidRDefault="00DD2DA8">
      <w:pPr>
        <w:spacing w:after="80" w:line="260" w:lineRule="auto"/>
        <w:jc w:val="both"/>
      </w:pPr>
      <w:r>
        <w:t>Self-attention allows transformers to model dependencies across thousands of features without recurrence, making them well-suited to high-</w:t>
      </w:r>
      <w:r>
        <w:lastRenderedPageBreak/>
        <w:t>dimensional omics inputs [10,18]. Recent variants introduce sparse attention and low-rank approximations to reduce the quadratic cost of full self-attention [22].</w:t>
      </w:r>
    </w:p>
    <w:p w14:paraId="68459A2C" w14:textId="77777777" w:rsidR="00B67853" w:rsidRDefault="00DD2DA8">
      <w:pPr>
        <w:pStyle w:val="Heading2"/>
      </w:pPr>
      <w:r>
        <w:t>2.2. Graph neural networks for biology</w:t>
      </w:r>
    </w:p>
    <w:p w14:paraId="51387E93" w14:textId="77777777" w:rsidR="00B67853" w:rsidRDefault="00DD2DA8">
      <w:pPr>
        <w:spacing w:after="80" w:line="260" w:lineRule="auto"/>
        <w:jc w:val="both"/>
      </w:pPr>
      <w:r>
        <w:t>GNNs propagate information along edges that encode prior biological knowledge, which has been shown to improve generalisation under distribution shift [12,13]. In our framework we use a two-layer GCN with residual connections, initialised from the STRING interaction database [14] filtered at a confidence score &gt;= 0.7.</w:t>
      </w:r>
    </w:p>
    <w:p w14:paraId="7F5CA49E" w14:textId="77777777" w:rsidR="00B67853" w:rsidRDefault="00DD2DA8">
      <w:pPr>
        <w:pStyle w:val="Heading1"/>
      </w:pPr>
      <w:r>
        <w:t>3. Proposed methodology</w:t>
      </w:r>
    </w:p>
    <w:p w14:paraId="20242BB9" w14:textId="77777777" w:rsidR="00B67853" w:rsidRDefault="00DD2DA8">
      <w:pPr>
        <w:spacing w:after="80" w:line="260" w:lineRule="auto"/>
        <w:jc w:val="both"/>
      </w:pPr>
      <w:r>
        <w:t>Our framework processes each patient's multi-omics profile in three stages: modality-wise tokenisation, joint transformer encoding and interaction-aware graph refinement. The final representation is passed through an attention fusion head to produce a calibrated probability of disease risk. Fig. 1 illustrates the overall architecture.</w:t>
      </w:r>
    </w:p>
    <w:p w14:paraId="26AE2875" w14:textId="77777777" w:rsidR="00B67853" w:rsidRDefault="00DD2DA8">
      <w:pPr>
        <w:spacing w:before="80" w:after="40"/>
        <w:jc w:val="center"/>
      </w:pPr>
      <w:r>
        <w:rPr>
          <w:noProof/>
        </w:rPr>
        <w:drawing>
          <wp:inline distT="0" distB="0" distL="0" distR="0" wp14:anchorId="79C2FCDB" wp14:editId="6160BB4F">
            <wp:extent cx="2845905" cy="2393950"/>
            <wp:effectExtent l="0" t="0" r="0" b="6350"/>
            <wp:docPr id="1696112833" name="figure" descr="figure" title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5036" cy="24016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52D897" w14:textId="77777777" w:rsidR="00B67853" w:rsidRDefault="00DD2DA8">
      <w:pPr>
        <w:spacing w:before="60" w:after="140"/>
        <w:jc w:val="both"/>
      </w:pPr>
      <w:r>
        <w:rPr>
          <w:b/>
          <w:bCs/>
          <w:sz w:val="18"/>
          <w:szCs w:val="18"/>
        </w:rPr>
        <w:t xml:space="preserve">Fig. 1. </w:t>
      </w:r>
      <w:r>
        <w:rPr>
          <w:sz w:val="18"/>
          <w:szCs w:val="18"/>
        </w:rPr>
        <w:t>End-to-end architecture of the proposed hybrid Transformer-GNN framework. Genomic, transcriptomic and proteomic tokens are jointly encoded by a shared transformer, refined by a graph neural network on the STRING interaction graph, and fused by an attention-based classifier that outputs a calibrated per-patient disease risk probability.</w:t>
      </w:r>
    </w:p>
    <w:p w14:paraId="3F4BC24B" w14:textId="77777777" w:rsidR="00B67853" w:rsidRDefault="00DD2DA8">
      <w:pPr>
        <w:pStyle w:val="Heading2"/>
      </w:pPr>
      <w:r>
        <w:t>3.1. Tokenisation of multi-omics inputs</w:t>
      </w:r>
    </w:p>
    <w:p w14:paraId="58697BE2" w14:textId="77777777" w:rsidR="00B67853" w:rsidRDefault="00DD2DA8">
      <w:pPr>
        <w:spacing w:after="80" w:line="260" w:lineRule="auto"/>
        <w:jc w:val="both"/>
      </w:pPr>
      <w:r>
        <w:t>Each modality is reduced to a fixed-length token sequence through a learned linear projection followed by layer normalisation. Modality-specific positional embeddings preserve identity during joint encoding, as shown in Eq. (1):</w:t>
      </w:r>
    </w:p>
    <w:p w14:paraId="61C26644" w14:textId="77777777" w:rsidR="00B67853" w:rsidRDefault="00DD2DA8">
      <w:pPr>
        <w:spacing w:before="60" w:after="100"/>
        <w:jc w:val="center"/>
      </w:pPr>
      <w:proofErr w:type="spellStart"/>
      <w:r>
        <w:rPr>
          <w:i/>
          <w:iCs/>
          <w:sz w:val="21"/>
          <w:szCs w:val="21"/>
        </w:rPr>
        <w:t>E_m</w:t>
      </w:r>
      <w:proofErr w:type="spellEnd"/>
      <w:r>
        <w:rPr>
          <w:i/>
          <w:iCs/>
          <w:sz w:val="21"/>
          <w:szCs w:val="21"/>
        </w:rPr>
        <w:t xml:space="preserve"> = </w:t>
      </w:r>
      <w:proofErr w:type="spellStart"/>
      <w:proofErr w:type="gramStart"/>
      <w:r>
        <w:rPr>
          <w:i/>
          <w:iCs/>
          <w:sz w:val="21"/>
          <w:szCs w:val="21"/>
        </w:rPr>
        <w:t>LayerNorm</w:t>
      </w:r>
      <w:proofErr w:type="spellEnd"/>
      <w:r>
        <w:rPr>
          <w:i/>
          <w:iCs/>
          <w:sz w:val="21"/>
          <w:szCs w:val="21"/>
        </w:rPr>
        <w:t>(</w:t>
      </w:r>
      <w:proofErr w:type="spellStart"/>
      <w:proofErr w:type="gramEnd"/>
      <w:r>
        <w:rPr>
          <w:i/>
          <w:iCs/>
          <w:sz w:val="21"/>
          <w:szCs w:val="21"/>
        </w:rPr>
        <w:t>W_m</w:t>
      </w:r>
      <w:proofErr w:type="spellEnd"/>
      <w:r>
        <w:rPr>
          <w:i/>
          <w:iCs/>
          <w:sz w:val="21"/>
          <w:szCs w:val="21"/>
        </w:rPr>
        <w:t xml:space="preserve"> · </w:t>
      </w:r>
      <w:proofErr w:type="spellStart"/>
      <w:r>
        <w:rPr>
          <w:i/>
          <w:iCs/>
          <w:sz w:val="21"/>
          <w:szCs w:val="21"/>
        </w:rPr>
        <w:t>x_m</w:t>
      </w:r>
      <w:proofErr w:type="spellEnd"/>
      <w:r>
        <w:rPr>
          <w:i/>
          <w:iCs/>
          <w:sz w:val="21"/>
          <w:szCs w:val="21"/>
        </w:rPr>
        <w:t xml:space="preserve"> + </w:t>
      </w:r>
      <w:proofErr w:type="spellStart"/>
      <w:r>
        <w:rPr>
          <w:i/>
          <w:iCs/>
          <w:sz w:val="21"/>
          <w:szCs w:val="21"/>
        </w:rPr>
        <w:t>b_m</w:t>
      </w:r>
      <w:proofErr w:type="spellEnd"/>
      <w:r>
        <w:rPr>
          <w:i/>
          <w:iCs/>
          <w:sz w:val="21"/>
          <w:szCs w:val="21"/>
        </w:rPr>
        <w:t xml:space="preserve">) + </w:t>
      </w:r>
      <w:proofErr w:type="spellStart"/>
      <w:r>
        <w:rPr>
          <w:i/>
          <w:iCs/>
          <w:sz w:val="21"/>
          <w:szCs w:val="21"/>
        </w:rPr>
        <w:t>P_</w:t>
      </w:r>
      <w:proofErr w:type="gramStart"/>
      <w:r>
        <w:rPr>
          <w:i/>
          <w:iCs/>
          <w:sz w:val="21"/>
          <w:szCs w:val="21"/>
        </w:rPr>
        <w:t>m</w:t>
      </w:r>
      <w:proofErr w:type="spellEnd"/>
      <w:r>
        <w:rPr>
          <w:i/>
          <w:iCs/>
          <w:sz w:val="21"/>
          <w:szCs w:val="21"/>
        </w:rPr>
        <w:t xml:space="preserve">,   </w:t>
      </w:r>
      <w:proofErr w:type="gramEnd"/>
      <w:r>
        <w:rPr>
          <w:i/>
          <w:iCs/>
          <w:sz w:val="21"/>
          <w:szCs w:val="21"/>
        </w:rPr>
        <w:t xml:space="preserve">  m ∈ {gen, </w:t>
      </w:r>
      <w:proofErr w:type="spellStart"/>
      <w:r>
        <w:rPr>
          <w:i/>
          <w:iCs/>
          <w:sz w:val="21"/>
          <w:szCs w:val="21"/>
        </w:rPr>
        <w:t>trn</w:t>
      </w:r>
      <w:proofErr w:type="spellEnd"/>
      <w:r>
        <w:rPr>
          <w:i/>
          <w:iCs/>
          <w:sz w:val="21"/>
          <w:szCs w:val="21"/>
        </w:rPr>
        <w:t xml:space="preserve">, </w:t>
      </w:r>
      <w:proofErr w:type="spellStart"/>
      <w:proofErr w:type="gramStart"/>
      <w:r>
        <w:rPr>
          <w:i/>
          <w:iCs/>
          <w:sz w:val="21"/>
          <w:szCs w:val="21"/>
        </w:rPr>
        <w:t>prt</w:t>
      </w:r>
      <w:proofErr w:type="spellEnd"/>
      <w:r>
        <w:rPr>
          <w:i/>
          <w:iCs/>
          <w:sz w:val="21"/>
          <w:szCs w:val="21"/>
        </w:rPr>
        <w:t xml:space="preserve">}   </w:t>
      </w:r>
      <w:proofErr w:type="gramEnd"/>
      <w:r>
        <w:rPr>
          <w:i/>
          <w:iCs/>
          <w:sz w:val="21"/>
          <w:szCs w:val="21"/>
        </w:rPr>
        <w:t xml:space="preserve"> </w:t>
      </w:r>
      <w:proofErr w:type="gramStart"/>
      <w:r>
        <w:rPr>
          <w:i/>
          <w:iCs/>
          <w:sz w:val="21"/>
          <w:szCs w:val="21"/>
        </w:rPr>
        <w:t xml:space="preserve">   (</w:t>
      </w:r>
      <w:proofErr w:type="gramEnd"/>
      <w:r>
        <w:rPr>
          <w:i/>
          <w:iCs/>
          <w:sz w:val="21"/>
          <w:szCs w:val="21"/>
        </w:rPr>
        <w:t>1)</w:t>
      </w:r>
    </w:p>
    <w:p w14:paraId="79DA1E62" w14:textId="77777777" w:rsidR="00B67853" w:rsidRDefault="00DD2DA8">
      <w:pPr>
        <w:pStyle w:val="Heading2"/>
      </w:pPr>
      <w:r>
        <w:t>3.2. Transformer-GNN backbone</w:t>
      </w:r>
    </w:p>
    <w:p w14:paraId="3FCC9415" w14:textId="77777777" w:rsidR="00B67853" w:rsidRDefault="00DD2DA8">
      <w:pPr>
        <w:spacing w:after="80" w:line="260" w:lineRule="auto"/>
        <w:jc w:val="both"/>
      </w:pPr>
      <w:r>
        <w:t>The concatenated token sequence is passed through a six-layer transformer with eight attention heads. The contextualised embeddings are treated as node features of the interaction graph and refined by two GCN layers with skip connections (Eq. (2)):</w:t>
      </w:r>
    </w:p>
    <w:p w14:paraId="2659B47C" w14:textId="77777777" w:rsidR="00B67853" w:rsidRDefault="00DD2DA8">
      <w:pPr>
        <w:spacing w:before="60" w:after="100"/>
        <w:jc w:val="center"/>
      </w:pPr>
      <w:r>
        <w:rPr>
          <w:i/>
          <w:iCs/>
          <w:sz w:val="21"/>
          <w:szCs w:val="21"/>
        </w:rPr>
        <w:t xml:space="preserve">H^(l+1) = </w:t>
      </w:r>
      <w:proofErr w:type="gramStart"/>
      <w:r>
        <w:rPr>
          <w:i/>
          <w:iCs/>
          <w:sz w:val="21"/>
          <w:szCs w:val="21"/>
        </w:rPr>
        <w:t>σ( D^(</w:t>
      </w:r>
      <w:proofErr w:type="gramEnd"/>
      <w:r>
        <w:rPr>
          <w:i/>
          <w:iCs/>
          <w:sz w:val="21"/>
          <w:szCs w:val="21"/>
        </w:rPr>
        <w:t>-1/2) · A · D</w:t>
      </w:r>
      <w:proofErr w:type="gramStart"/>
      <w:r>
        <w:rPr>
          <w:i/>
          <w:iCs/>
          <w:sz w:val="21"/>
          <w:szCs w:val="21"/>
        </w:rPr>
        <w:t>^(</w:t>
      </w:r>
      <w:proofErr w:type="gramEnd"/>
      <w:r>
        <w:rPr>
          <w:i/>
          <w:iCs/>
          <w:sz w:val="21"/>
          <w:szCs w:val="21"/>
        </w:rPr>
        <w:t>-1/2) · H^(l) · W^(l</w:t>
      </w:r>
      <w:proofErr w:type="gramStart"/>
      <w:r>
        <w:rPr>
          <w:i/>
          <w:iCs/>
          <w:sz w:val="21"/>
          <w:szCs w:val="21"/>
        </w:rPr>
        <w:t>) )</w:t>
      </w:r>
      <w:proofErr w:type="gramEnd"/>
      <w:r>
        <w:rPr>
          <w:i/>
          <w:iCs/>
          <w:sz w:val="21"/>
          <w:szCs w:val="21"/>
        </w:rPr>
        <w:t xml:space="preserve"> + H^(l)      </w:t>
      </w:r>
      <w:proofErr w:type="gramStart"/>
      <w:r>
        <w:rPr>
          <w:i/>
          <w:iCs/>
          <w:sz w:val="21"/>
          <w:szCs w:val="21"/>
        </w:rPr>
        <w:t xml:space="preserve">   (</w:t>
      </w:r>
      <w:proofErr w:type="gramEnd"/>
      <w:r>
        <w:rPr>
          <w:i/>
          <w:iCs/>
          <w:sz w:val="21"/>
          <w:szCs w:val="21"/>
        </w:rPr>
        <w:t>2)</w:t>
      </w:r>
    </w:p>
    <w:p w14:paraId="5A6DBE21" w14:textId="77777777" w:rsidR="00B67853" w:rsidRDefault="00DD2DA8">
      <w:pPr>
        <w:pStyle w:val="Heading2"/>
      </w:pPr>
      <w:r>
        <w:t>3.3. Attention fusion and calibration</w:t>
      </w:r>
    </w:p>
    <w:p w14:paraId="3F23E3F6" w14:textId="77777777" w:rsidR="00B67853" w:rsidRDefault="00DD2DA8">
      <w:pPr>
        <w:spacing w:after="80" w:line="260" w:lineRule="auto"/>
        <w:jc w:val="both"/>
      </w:pPr>
      <w:r>
        <w:t>A learnable query vector attends over node embeddings to produce a patient-level representation, which is passed to a two-layer MLP classifier. Temperature scaling [16] is applied to logits on a held-out validation split to ensure calibrated probabilities. The loss function combines weighted cross-entropy with an L2 penalty on graph attention weights to discourage over-smoothing.</w:t>
      </w:r>
    </w:p>
    <w:p w14:paraId="5EED2464" w14:textId="77777777" w:rsidR="00B67853" w:rsidRDefault="00DD2DA8">
      <w:pPr>
        <w:pStyle w:val="Heading1"/>
      </w:pPr>
      <w:r>
        <w:t>4. Experimental setup</w:t>
      </w:r>
    </w:p>
    <w:p w14:paraId="4A99E9DE" w14:textId="77777777" w:rsidR="00B67853" w:rsidRDefault="00DD2DA8">
      <w:pPr>
        <w:pStyle w:val="Heading2"/>
      </w:pPr>
      <w:r>
        <w:t>4.1. Datasets</w:t>
      </w:r>
    </w:p>
    <w:p w14:paraId="0DADC5D0" w14:textId="77777777" w:rsidR="00B67853" w:rsidRDefault="00DD2DA8">
      <w:pPr>
        <w:spacing w:after="80" w:line="260" w:lineRule="auto"/>
        <w:jc w:val="both"/>
      </w:pPr>
      <w:r>
        <w:t>We evaluated the proposed framework on three publicly available TCGA cohorts [17]: breast invasive carcinoma (BRCA), lung adenocarcinoma (LUAD) and colorectal adenocarcinoma (COAD). Matched genomic mutation calls, RNA-</w:t>
      </w:r>
      <w:proofErr w:type="spellStart"/>
      <w:r>
        <w:t>Seq</w:t>
      </w:r>
      <w:proofErr w:type="spellEnd"/>
      <w:r>
        <w:t xml:space="preserve"> transcript-per-million values and reverse-phase protein array expressions were downloaded from the GDC portal [23]. Table 1 reports per-cohort sample counts and feature dimensionality after quality filtering.</w:t>
      </w:r>
    </w:p>
    <w:p w14:paraId="5E8A8012" w14:textId="77777777" w:rsidR="00B67853" w:rsidRDefault="00DD2DA8">
      <w:pPr>
        <w:spacing w:before="100" w:after="40"/>
      </w:pPr>
      <w:r>
        <w:rPr>
          <w:b/>
          <w:bCs/>
        </w:rPr>
        <w:t>Table 1</w:t>
      </w:r>
    </w:p>
    <w:p w14:paraId="026025A2" w14:textId="77777777" w:rsidR="00B67853" w:rsidRDefault="00DD2DA8">
      <w:pPr>
        <w:spacing w:before="60" w:after="140"/>
        <w:jc w:val="both"/>
      </w:pPr>
      <w:r>
        <w:rPr>
          <w:sz w:val="18"/>
          <w:szCs w:val="18"/>
        </w:rPr>
        <w:t>Summary statistics of the three TCGA cohorts used in this study. Feature counts refer to the dimensionality after quality filtering; event rate is the fraction of patients with a positive outcome label.</w:t>
      </w:r>
    </w:p>
    <w:tbl>
      <w:tblPr>
        <w:tblW w:w="5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41"/>
        <w:gridCol w:w="836"/>
        <w:gridCol w:w="889"/>
        <w:gridCol w:w="1084"/>
        <w:gridCol w:w="994"/>
        <w:gridCol w:w="635"/>
      </w:tblGrid>
      <w:tr w:rsidR="00B67853" w14:paraId="2F1A8207" w14:textId="77777777" w:rsidTr="0049621B">
        <w:trPr>
          <w:trHeight w:val="410"/>
        </w:trPr>
        <w:tc>
          <w:tcPr>
            <w:tcW w:w="0" w:type="auto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3D906B54" w14:textId="77777777" w:rsidR="00B67853" w:rsidRDefault="00DD2DA8">
            <w:r>
              <w:rPr>
                <w:b/>
                <w:bCs/>
                <w:sz w:val="19"/>
                <w:szCs w:val="19"/>
              </w:rPr>
              <w:t>Cohort</w:t>
            </w:r>
          </w:p>
        </w:tc>
        <w:tc>
          <w:tcPr>
            <w:tcW w:w="0" w:type="auto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68724730" w14:textId="77777777" w:rsidR="00B67853" w:rsidRDefault="00DD2DA8">
            <w:pPr>
              <w:jc w:val="center"/>
            </w:pPr>
            <w:r>
              <w:rPr>
                <w:b/>
                <w:bCs/>
                <w:sz w:val="19"/>
                <w:szCs w:val="19"/>
              </w:rPr>
              <w:t>Samples</w:t>
            </w:r>
          </w:p>
        </w:tc>
        <w:tc>
          <w:tcPr>
            <w:tcW w:w="0" w:type="auto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0321ECD5" w14:textId="77777777" w:rsidR="00B67853" w:rsidRDefault="00DD2DA8">
            <w:pPr>
              <w:jc w:val="center"/>
            </w:pPr>
            <w:r>
              <w:rPr>
                <w:b/>
                <w:bCs/>
                <w:sz w:val="19"/>
                <w:szCs w:val="19"/>
              </w:rPr>
              <w:t>Genomic</w:t>
            </w:r>
          </w:p>
        </w:tc>
        <w:tc>
          <w:tcPr>
            <w:tcW w:w="0" w:type="auto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47876C8A" w14:textId="77777777" w:rsidR="00B67853" w:rsidRDefault="00DD2DA8">
            <w:pPr>
              <w:jc w:val="center"/>
            </w:pPr>
            <w:r>
              <w:rPr>
                <w:b/>
                <w:bCs/>
                <w:sz w:val="19"/>
                <w:szCs w:val="19"/>
              </w:rPr>
              <w:t>Transcript.</w:t>
            </w:r>
          </w:p>
        </w:tc>
        <w:tc>
          <w:tcPr>
            <w:tcW w:w="0" w:type="auto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315BB6B7" w14:textId="77777777" w:rsidR="00B67853" w:rsidRDefault="00DD2DA8">
            <w:pPr>
              <w:jc w:val="center"/>
            </w:pPr>
            <w:r>
              <w:rPr>
                <w:b/>
                <w:bCs/>
                <w:sz w:val="19"/>
                <w:szCs w:val="19"/>
              </w:rPr>
              <w:t>Proteomic</w:t>
            </w:r>
          </w:p>
        </w:tc>
        <w:tc>
          <w:tcPr>
            <w:tcW w:w="0" w:type="auto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267D4706" w14:textId="77777777" w:rsidR="00B67853" w:rsidRDefault="00DD2DA8">
            <w:pPr>
              <w:jc w:val="center"/>
            </w:pPr>
            <w:r>
              <w:rPr>
                <w:b/>
                <w:bCs/>
                <w:sz w:val="19"/>
                <w:szCs w:val="19"/>
              </w:rPr>
              <w:t>Event %</w:t>
            </w:r>
          </w:p>
        </w:tc>
      </w:tr>
      <w:tr w:rsidR="00B67853" w14:paraId="082B280D" w14:textId="77777777" w:rsidTr="0049621B">
        <w:trPr>
          <w:trHeight w:val="410"/>
        </w:trPr>
        <w:tc>
          <w:tcPr>
            <w:tcW w:w="0" w:type="auto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26FB2002" w14:textId="77777777" w:rsidR="00B67853" w:rsidRDefault="00DD2DA8">
            <w:r>
              <w:rPr>
                <w:sz w:val="18"/>
                <w:szCs w:val="18"/>
              </w:rPr>
              <w:t>BRCA</w:t>
            </w:r>
          </w:p>
        </w:tc>
        <w:tc>
          <w:tcPr>
            <w:tcW w:w="0" w:type="auto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0B07C1EC" w14:textId="77777777" w:rsidR="00B67853" w:rsidRDefault="00DD2DA8">
            <w:pPr>
              <w:jc w:val="center"/>
            </w:pPr>
            <w:r>
              <w:rPr>
                <w:sz w:val="18"/>
                <w:szCs w:val="18"/>
              </w:rPr>
              <w:t>1,080</w:t>
            </w:r>
          </w:p>
        </w:tc>
        <w:tc>
          <w:tcPr>
            <w:tcW w:w="0" w:type="auto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43A7425E" w14:textId="77777777" w:rsidR="00B67853" w:rsidRDefault="00DD2DA8">
            <w:pPr>
              <w:jc w:val="center"/>
            </w:pPr>
            <w:r>
              <w:rPr>
                <w:sz w:val="18"/>
                <w:szCs w:val="18"/>
              </w:rPr>
              <w:t>21,504</w:t>
            </w:r>
          </w:p>
        </w:tc>
        <w:tc>
          <w:tcPr>
            <w:tcW w:w="0" w:type="auto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02A9DC81" w14:textId="77777777" w:rsidR="00B67853" w:rsidRDefault="00DD2DA8">
            <w:pPr>
              <w:jc w:val="center"/>
            </w:pPr>
            <w:r>
              <w:rPr>
                <w:sz w:val="18"/>
                <w:szCs w:val="18"/>
              </w:rPr>
              <w:t>20,531</w:t>
            </w:r>
          </w:p>
        </w:tc>
        <w:tc>
          <w:tcPr>
            <w:tcW w:w="0" w:type="auto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497CF7DC" w14:textId="77777777" w:rsidR="00B67853" w:rsidRDefault="00DD2DA8">
            <w:pPr>
              <w:jc w:val="center"/>
            </w:pPr>
            <w:r>
              <w:rPr>
                <w:sz w:val="18"/>
                <w:szCs w:val="18"/>
              </w:rPr>
              <w:t>487</w:t>
            </w:r>
          </w:p>
        </w:tc>
        <w:tc>
          <w:tcPr>
            <w:tcW w:w="0" w:type="auto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5A3D9933" w14:textId="77777777" w:rsidR="00B67853" w:rsidRDefault="00DD2DA8">
            <w:pPr>
              <w:jc w:val="center"/>
            </w:pPr>
            <w:r>
              <w:rPr>
                <w:sz w:val="18"/>
                <w:szCs w:val="18"/>
              </w:rPr>
              <w:t>27.3</w:t>
            </w:r>
          </w:p>
        </w:tc>
      </w:tr>
      <w:tr w:rsidR="00B67853" w14:paraId="00FA0C44" w14:textId="77777777" w:rsidTr="0049621B">
        <w:trPr>
          <w:trHeight w:val="388"/>
        </w:trPr>
        <w:tc>
          <w:tcPr>
            <w:tcW w:w="0" w:type="auto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7AAC2B20" w14:textId="77777777" w:rsidR="00B67853" w:rsidRDefault="00DD2DA8">
            <w:r>
              <w:rPr>
                <w:sz w:val="18"/>
                <w:szCs w:val="18"/>
              </w:rPr>
              <w:t>LUAD</w:t>
            </w:r>
          </w:p>
        </w:tc>
        <w:tc>
          <w:tcPr>
            <w:tcW w:w="0" w:type="auto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39FF5181" w14:textId="77777777" w:rsidR="00B67853" w:rsidRDefault="00DD2DA8">
            <w:pPr>
              <w:jc w:val="center"/>
            </w:pPr>
            <w:r>
              <w:rPr>
                <w:sz w:val="18"/>
                <w:szCs w:val="18"/>
              </w:rPr>
              <w:t>515</w:t>
            </w:r>
          </w:p>
        </w:tc>
        <w:tc>
          <w:tcPr>
            <w:tcW w:w="0" w:type="auto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12E6847A" w14:textId="77777777" w:rsidR="00B67853" w:rsidRDefault="00DD2DA8">
            <w:pPr>
              <w:jc w:val="center"/>
            </w:pPr>
            <w:r>
              <w:rPr>
                <w:sz w:val="18"/>
                <w:szCs w:val="18"/>
              </w:rPr>
              <w:t>19,188</w:t>
            </w:r>
          </w:p>
        </w:tc>
        <w:tc>
          <w:tcPr>
            <w:tcW w:w="0" w:type="auto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30750228" w14:textId="77777777" w:rsidR="00B67853" w:rsidRDefault="00DD2DA8">
            <w:pPr>
              <w:jc w:val="center"/>
            </w:pPr>
            <w:r>
              <w:rPr>
                <w:sz w:val="18"/>
                <w:szCs w:val="18"/>
              </w:rPr>
              <w:t>20,489</w:t>
            </w:r>
          </w:p>
        </w:tc>
        <w:tc>
          <w:tcPr>
            <w:tcW w:w="0" w:type="auto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13E07719" w14:textId="77777777" w:rsidR="00B67853" w:rsidRDefault="00DD2DA8">
            <w:pPr>
              <w:jc w:val="center"/>
            </w:pPr>
            <w:r>
              <w:rPr>
                <w:sz w:val="18"/>
                <w:szCs w:val="18"/>
              </w:rPr>
              <w:t>472</w:t>
            </w:r>
          </w:p>
        </w:tc>
        <w:tc>
          <w:tcPr>
            <w:tcW w:w="0" w:type="auto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2545C743" w14:textId="77777777" w:rsidR="00B67853" w:rsidRDefault="00DD2DA8">
            <w:pPr>
              <w:jc w:val="center"/>
            </w:pPr>
            <w:r>
              <w:rPr>
                <w:sz w:val="18"/>
                <w:szCs w:val="18"/>
              </w:rPr>
              <w:t>36.1</w:t>
            </w:r>
          </w:p>
        </w:tc>
      </w:tr>
      <w:tr w:rsidR="00B67853" w14:paraId="2610D01A" w14:textId="77777777" w:rsidTr="0049621B">
        <w:trPr>
          <w:trHeight w:val="410"/>
        </w:trPr>
        <w:tc>
          <w:tcPr>
            <w:tcW w:w="0" w:type="auto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13B545A7" w14:textId="77777777" w:rsidR="00B67853" w:rsidRDefault="00DD2DA8">
            <w:r>
              <w:rPr>
                <w:sz w:val="18"/>
                <w:szCs w:val="18"/>
              </w:rPr>
              <w:t>COAD</w:t>
            </w:r>
          </w:p>
        </w:tc>
        <w:tc>
          <w:tcPr>
            <w:tcW w:w="0" w:type="auto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2C3DCCF2" w14:textId="77777777" w:rsidR="00B67853" w:rsidRDefault="00DD2DA8">
            <w:pPr>
              <w:jc w:val="center"/>
            </w:pPr>
            <w:r>
              <w:rPr>
                <w:sz w:val="18"/>
                <w:szCs w:val="18"/>
              </w:rPr>
              <w:t>455</w:t>
            </w:r>
          </w:p>
        </w:tc>
        <w:tc>
          <w:tcPr>
            <w:tcW w:w="0" w:type="auto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59EC2482" w14:textId="77777777" w:rsidR="00B67853" w:rsidRDefault="00DD2DA8">
            <w:pPr>
              <w:jc w:val="center"/>
            </w:pPr>
            <w:r>
              <w:rPr>
                <w:sz w:val="18"/>
                <w:szCs w:val="18"/>
              </w:rPr>
              <w:t>20,612</w:t>
            </w:r>
          </w:p>
        </w:tc>
        <w:tc>
          <w:tcPr>
            <w:tcW w:w="0" w:type="auto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53418773" w14:textId="77777777" w:rsidR="00B67853" w:rsidRDefault="00DD2DA8">
            <w:pPr>
              <w:jc w:val="center"/>
            </w:pPr>
            <w:r>
              <w:rPr>
                <w:sz w:val="18"/>
                <w:szCs w:val="18"/>
              </w:rPr>
              <w:t>20,501</w:t>
            </w:r>
          </w:p>
        </w:tc>
        <w:tc>
          <w:tcPr>
            <w:tcW w:w="0" w:type="auto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13F61E72" w14:textId="77777777" w:rsidR="00B67853" w:rsidRDefault="00DD2DA8">
            <w:pPr>
              <w:jc w:val="center"/>
            </w:pPr>
            <w:r>
              <w:rPr>
                <w:sz w:val="18"/>
                <w:szCs w:val="18"/>
              </w:rPr>
              <w:t>479</w:t>
            </w:r>
          </w:p>
        </w:tc>
        <w:tc>
          <w:tcPr>
            <w:tcW w:w="0" w:type="auto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63FAC2D2" w14:textId="77777777" w:rsidR="00B67853" w:rsidRDefault="00DD2DA8">
            <w:pPr>
              <w:jc w:val="center"/>
            </w:pPr>
            <w:r>
              <w:rPr>
                <w:sz w:val="18"/>
                <w:szCs w:val="18"/>
              </w:rPr>
              <w:t>21.8</w:t>
            </w:r>
          </w:p>
        </w:tc>
      </w:tr>
      <w:tr w:rsidR="00B67853" w14:paraId="194FADC8" w14:textId="77777777" w:rsidTr="0049621B">
        <w:trPr>
          <w:trHeight w:val="388"/>
        </w:trPr>
        <w:tc>
          <w:tcPr>
            <w:tcW w:w="0" w:type="auto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6E0C38CE" w14:textId="77777777" w:rsidR="00B67853" w:rsidRDefault="00DD2DA8">
            <w:r>
              <w:rPr>
                <w:sz w:val="18"/>
                <w:szCs w:val="18"/>
              </w:rPr>
              <w:t>Total</w:t>
            </w:r>
          </w:p>
        </w:tc>
        <w:tc>
          <w:tcPr>
            <w:tcW w:w="0" w:type="auto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65EC1BFD" w14:textId="77777777" w:rsidR="00B67853" w:rsidRDefault="00DD2DA8">
            <w:pPr>
              <w:jc w:val="center"/>
            </w:pPr>
            <w:r>
              <w:rPr>
                <w:sz w:val="18"/>
                <w:szCs w:val="18"/>
              </w:rPr>
              <w:t>2,050</w:t>
            </w:r>
          </w:p>
        </w:tc>
        <w:tc>
          <w:tcPr>
            <w:tcW w:w="0" w:type="auto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2DFA9B24" w14:textId="77777777" w:rsidR="00B67853" w:rsidRDefault="00DD2DA8">
            <w:pPr>
              <w:jc w:val="center"/>
            </w:pPr>
            <w:r>
              <w:rPr>
                <w:sz w:val="18"/>
                <w:szCs w:val="18"/>
              </w:rPr>
              <w:t>—</w:t>
            </w:r>
          </w:p>
        </w:tc>
        <w:tc>
          <w:tcPr>
            <w:tcW w:w="0" w:type="auto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021E92F1" w14:textId="77777777" w:rsidR="00B67853" w:rsidRDefault="00DD2DA8">
            <w:pPr>
              <w:jc w:val="center"/>
            </w:pPr>
            <w:r>
              <w:rPr>
                <w:sz w:val="18"/>
                <w:szCs w:val="18"/>
              </w:rPr>
              <w:t>—</w:t>
            </w:r>
          </w:p>
        </w:tc>
        <w:tc>
          <w:tcPr>
            <w:tcW w:w="0" w:type="auto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69F7D960" w14:textId="77777777" w:rsidR="00B67853" w:rsidRDefault="00DD2DA8">
            <w:pPr>
              <w:jc w:val="center"/>
            </w:pPr>
            <w:r>
              <w:rPr>
                <w:sz w:val="18"/>
                <w:szCs w:val="18"/>
              </w:rPr>
              <w:t>—</w:t>
            </w:r>
          </w:p>
        </w:tc>
        <w:tc>
          <w:tcPr>
            <w:tcW w:w="0" w:type="auto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645B300F" w14:textId="77777777" w:rsidR="00B67853" w:rsidRDefault="00DD2DA8">
            <w:pPr>
              <w:jc w:val="center"/>
            </w:pPr>
            <w:r>
              <w:rPr>
                <w:sz w:val="18"/>
                <w:szCs w:val="18"/>
              </w:rPr>
              <w:t>—</w:t>
            </w:r>
          </w:p>
        </w:tc>
      </w:tr>
    </w:tbl>
    <w:p w14:paraId="20CA8E93" w14:textId="77777777" w:rsidR="00B67853" w:rsidRDefault="00DD2DA8">
      <w:pPr>
        <w:spacing w:after="160"/>
      </w:pPr>
      <w:r>
        <w:t xml:space="preserve"> </w:t>
      </w:r>
    </w:p>
    <w:p w14:paraId="15CC6ABB" w14:textId="77777777" w:rsidR="00B67853" w:rsidRDefault="00DD2DA8">
      <w:pPr>
        <w:pStyle w:val="Heading2"/>
      </w:pPr>
      <w:r>
        <w:t>4.2. Implementation and hyperparameters</w:t>
      </w:r>
    </w:p>
    <w:p w14:paraId="5E274CCB" w14:textId="77777777" w:rsidR="00B67853" w:rsidRDefault="00DD2DA8">
      <w:pPr>
        <w:spacing w:after="80" w:line="260" w:lineRule="auto"/>
        <w:jc w:val="both"/>
      </w:pPr>
      <w:r>
        <w:t xml:space="preserve">The framework was implemented in </w:t>
      </w:r>
      <w:proofErr w:type="spellStart"/>
      <w:r>
        <w:t>PyTorch</w:t>
      </w:r>
      <w:proofErr w:type="spellEnd"/>
      <w:r>
        <w:t xml:space="preserve"> 2.2 and trained on a single NVIDIA A100 GPU. Hyperparameters were selected on a held-out 10% validation split using Bayesian optimisation [24]. Final values are listed in Table 2.</w:t>
      </w:r>
    </w:p>
    <w:p w14:paraId="24B9DED1" w14:textId="77777777" w:rsidR="00B67853" w:rsidRDefault="00DD2DA8">
      <w:pPr>
        <w:spacing w:before="100" w:after="40"/>
      </w:pPr>
      <w:r>
        <w:rPr>
          <w:b/>
          <w:bCs/>
        </w:rPr>
        <w:t>Table 2</w:t>
      </w:r>
    </w:p>
    <w:p w14:paraId="09A5ADF4" w14:textId="77777777" w:rsidR="00B67853" w:rsidRDefault="00DD2DA8">
      <w:pPr>
        <w:spacing w:before="60" w:after="140"/>
        <w:jc w:val="both"/>
      </w:pPr>
      <w:r>
        <w:rPr>
          <w:sz w:val="18"/>
          <w:szCs w:val="18"/>
        </w:rPr>
        <w:t>Final hyperparameter configuration of the proposed Transformer-GNN framework, selected via Bayesian optimisation on a held-out validation split.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none" w:sz="0" w:space="0" w:color="FFFFFF"/>
          <w:insideV w:val="none" w:sz="0" w:space="0" w:color="FFFFFF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635"/>
        <w:gridCol w:w="2725"/>
      </w:tblGrid>
      <w:tr w:rsidR="00B67853" w14:paraId="7E59B381" w14:textId="77777777">
        <w:tc>
          <w:tcPr>
            <w:tcW w:w="0" w:type="auto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340F1BB2" w14:textId="77777777" w:rsidR="00B67853" w:rsidRDefault="00DD2DA8">
            <w:r>
              <w:rPr>
                <w:b/>
                <w:bCs/>
                <w:sz w:val="19"/>
                <w:szCs w:val="19"/>
              </w:rPr>
              <w:t>Hyperparameter</w:t>
            </w:r>
          </w:p>
        </w:tc>
        <w:tc>
          <w:tcPr>
            <w:tcW w:w="0" w:type="auto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42A63C07" w14:textId="77777777" w:rsidR="00B67853" w:rsidRDefault="00DD2DA8">
            <w:pPr>
              <w:jc w:val="center"/>
            </w:pPr>
            <w:r>
              <w:rPr>
                <w:b/>
                <w:bCs/>
                <w:sz w:val="19"/>
                <w:szCs w:val="19"/>
              </w:rPr>
              <w:t>Value</w:t>
            </w:r>
          </w:p>
        </w:tc>
      </w:tr>
      <w:tr w:rsidR="00B67853" w14:paraId="318BDA6D" w14:textId="77777777">
        <w:tc>
          <w:tcPr>
            <w:tcW w:w="0" w:type="auto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52484955" w14:textId="77777777" w:rsidR="00B67853" w:rsidRDefault="00DD2DA8">
            <w:r>
              <w:rPr>
                <w:sz w:val="18"/>
                <w:szCs w:val="18"/>
              </w:rPr>
              <w:t>Transformer layers (L)</w:t>
            </w:r>
          </w:p>
        </w:tc>
        <w:tc>
          <w:tcPr>
            <w:tcW w:w="0" w:type="auto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3A322A41" w14:textId="77777777" w:rsidR="00B67853" w:rsidRDefault="00DD2DA8">
            <w:pPr>
              <w:jc w:val="center"/>
            </w:pPr>
            <w:r>
              <w:rPr>
                <w:sz w:val="18"/>
                <w:szCs w:val="18"/>
              </w:rPr>
              <w:t>6</w:t>
            </w:r>
          </w:p>
        </w:tc>
      </w:tr>
      <w:tr w:rsidR="00B67853" w14:paraId="65472D80" w14:textId="77777777">
        <w:tc>
          <w:tcPr>
            <w:tcW w:w="0" w:type="auto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5D476721" w14:textId="77777777" w:rsidR="00B67853" w:rsidRDefault="00DD2DA8">
            <w:r>
              <w:rPr>
                <w:sz w:val="18"/>
                <w:szCs w:val="18"/>
              </w:rPr>
              <w:t>Attention heads</w:t>
            </w:r>
          </w:p>
        </w:tc>
        <w:tc>
          <w:tcPr>
            <w:tcW w:w="0" w:type="auto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174C4D89" w14:textId="77777777" w:rsidR="00B67853" w:rsidRDefault="00DD2DA8">
            <w:pPr>
              <w:jc w:val="center"/>
            </w:pPr>
            <w:r>
              <w:rPr>
                <w:sz w:val="18"/>
                <w:szCs w:val="18"/>
              </w:rPr>
              <w:t>8</w:t>
            </w:r>
          </w:p>
        </w:tc>
      </w:tr>
      <w:tr w:rsidR="00B67853" w14:paraId="4C7B46A8" w14:textId="77777777">
        <w:tc>
          <w:tcPr>
            <w:tcW w:w="0" w:type="auto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76A97232" w14:textId="77777777" w:rsidR="00B67853" w:rsidRDefault="00DD2DA8">
            <w:r>
              <w:rPr>
                <w:sz w:val="18"/>
                <w:szCs w:val="18"/>
              </w:rPr>
              <w:lastRenderedPageBreak/>
              <w:t>Hidden dimension (d)</w:t>
            </w:r>
          </w:p>
        </w:tc>
        <w:tc>
          <w:tcPr>
            <w:tcW w:w="0" w:type="auto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5D8EDB2D" w14:textId="77777777" w:rsidR="00B67853" w:rsidRDefault="00DD2DA8">
            <w:pPr>
              <w:jc w:val="center"/>
            </w:pPr>
            <w:r>
              <w:rPr>
                <w:sz w:val="18"/>
                <w:szCs w:val="18"/>
              </w:rPr>
              <w:t>256</w:t>
            </w:r>
          </w:p>
        </w:tc>
      </w:tr>
      <w:tr w:rsidR="00B67853" w14:paraId="00F614B4" w14:textId="77777777">
        <w:tc>
          <w:tcPr>
            <w:tcW w:w="0" w:type="auto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305277CB" w14:textId="77777777" w:rsidR="00B67853" w:rsidRDefault="00DD2DA8">
            <w:r>
              <w:rPr>
                <w:sz w:val="18"/>
                <w:szCs w:val="18"/>
              </w:rPr>
              <w:t>GCN layers</w:t>
            </w:r>
          </w:p>
        </w:tc>
        <w:tc>
          <w:tcPr>
            <w:tcW w:w="0" w:type="auto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66CA7BA3" w14:textId="77777777" w:rsidR="00B67853" w:rsidRDefault="00DD2DA8">
            <w:pPr>
              <w:jc w:val="center"/>
            </w:pPr>
            <w:r>
              <w:rPr>
                <w:sz w:val="18"/>
                <w:szCs w:val="18"/>
              </w:rPr>
              <w:t>2</w:t>
            </w:r>
          </w:p>
        </w:tc>
      </w:tr>
      <w:tr w:rsidR="00B67853" w14:paraId="3DAC2858" w14:textId="77777777">
        <w:tc>
          <w:tcPr>
            <w:tcW w:w="0" w:type="auto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7B84F3DC" w14:textId="77777777" w:rsidR="00B67853" w:rsidRDefault="00DD2DA8">
            <w:r>
              <w:rPr>
                <w:sz w:val="18"/>
                <w:szCs w:val="18"/>
              </w:rPr>
              <w:t>Dropout</w:t>
            </w:r>
          </w:p>
        </w:tc>
        <w:tc>
          <w:tcPr>
            <w:tcW w:w="0" w:type="auto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368C4126" w14:textId="77777777" w:rsidR="00B67853" w:rsidRDefault="00DD2DA8">
            <w:pPr>
              <w:jc w:val="center"/>
            </w:pPr>
            <w:r>
              <w:rPr>
                <w:sz w:val="18"/>
                <w:szCs w:val="18"/>
              </w:rPr>
              <w:t>0.15</w:t>
            </w:r>
          </w:p>
        </w:tc>
      </w:tr>
      <w:tr w:rsidR="00B67853" w14:paraId="3918AE03" w14:textId="77777777">
        <w:tc>
          <w:tcPr>
            <w:tcW w:w="0" w:type="auto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10949422" w14:textId="77777777" w:rsidR="00B67853" w:rsidRDefault="00DD2DA8">
            <w:r>
              <w:rPr>
                <w:sz w:val="18"/>
                <w:szCs w:val="18"/>
              </w:rPr>
              <w:t>Batch size</w:t>
            </w:r>
          </w:p>
        </w:tc>
        <w:tc>
          <w:tcPr>
            <w:tcW w:w="0" w:type="auto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2F039FDD" w14:textId="77777777" w:rsidR="00B67853" w:rsidRDefault="00DD2DA8">
            <w:pPr>
              <w:jc w:val="center"/>
            </w:pPr>
            <w:r>
              <w:rPr>
                <w:sz w:val="18"/>
                <w:szCs w:val="18"/>
              </w:rPr>
              <w:t>64</w:t>
            </w:r>
          </w:p>
        </w:tc>
      </w:tr>
      <w:tr w:rsidR="00B67853" w14:paraId="400F0FBE" w14:textId="77777777">
        <w:tc>
          <w:tcPr>
            <w:tcW w:w="0" w:type="auto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02D882EF" w14:textId="77777777" w:rsidR="00B67853" w:rsidRDefault="00DD2DA8">
            <w:r>
              <w:rPr>
                <w:sz w:val="18"/>
                <w:szCs w:val="18"/>
              </w:rPr>
              <w:t>Optimiser</w:t>
            </w:r>
          </w:p>
        </w:tc>
        <w:tc>
          <w:tcPr>
            <w:tcW w:w="0" w:type="auto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4723B622" w14:textId="77777777" w:rsidR="00B67853" w:rsidRDefault="00DD2DA8">
            <w:pPr>
              <w:jc w:val="center"/>
            </w:pPr>
            <w:proofErr w:type="spellStart"/>
            <w:r>
              <w:rPr>
                <w:sz w:val="18"/>
                <w:szCs w:val="18"/>
              </w:rPr>
              <w:t>AdamW</w:t>
            </w:r>
            <w:proofErr w:type="spellEnd"/>
          </w:p>
        </w:tc>
      </w:tr>
      <w:tr w:rsidR="00B67853" w14:paraId="2A28EFC7" w14:textId="77777777">
        <w:tc>
          <w:tcPr>
            <w:tcW w:w="0" w:type="auto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1CDBD141" w14:textId="77777777" w:rsidR="00B67853" w:rsidRDefault="00DD2DA8">
            <w:r>
              <w:rPr>
                <w:sz w:val="18"/>
                <w:szCs w:val="18"/>
              </w:rPr>
              <w:t>Learning rate</w:t>
            </w:r>
          </w:p>
        </w:tc>
        <w:tc>
          <w:tcPr>
            <w:tcW w:w="0" w:type="auto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37F76D4D" w14:textId="77777777" w:rsidR="00B67853" w:rsidRDefault="00DD2DA8">
            <w:pPr>
              <w:jc w:val="center"/>
            </w:pPr>
            <w:r>
              <w:rPr>
                <w:sz w:val="18"/>
                <w:szCs w:val="18"/>
              </w:rPr>
              <w:t>1 × 10⁻⁴</w:t>
            </w:r>
          </w:p>
        </w:tc>
      </w:tr>
      <w:tr w:rsidR="00B67853" w14:paraId="100E2876" w14:textId="77777777">
        <w:tc>
          <w:tcPr>
            <w:tcW w:w="0" w:type="auto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7F835FBC" w14:textId="77777777" w:rsidR="00B67853" w:rsidRDefault="00DD2DA8">
            <w:r>
              <w:rPr>
                <w:sz w:val="18"/>
                <w:szCs w:val="18"/>
              </w:rPr>
              <w:t>Weight decay</w:t>
            </w:r>
          </w:p>
        </w:tc>
        <w:tc>
          <w:tcPr>
            <w:tcW w:w="0" w:type="auto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6DFCA335" w14:textId="77777777" w:rsidR="00B67853" w:rsidRDefault="00DD2DA8">
            <w:pPr>
              <w:jc w:val="center"/>
            </w:pPr>
            <w:r>
              <w:rPr>
                <w:sz w:val="18"/>
                <w:szCs w:val="18"/>
              </w:rPr>
              <w:t>1 × 10⁻⁵</w:t>
            </w:r>
          </w:p>
        </w:tc>
      </w:tr>
      <w:tr w:rsidR="00B67853" w14:paraId="78C4D7C6" w14:textId="77777777">
        <w:tc>
          <w:tcPr>
            <w:tcW w:w="0" w:type="auto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0A32E241" w14:textId="77777777" w:rsidR="00B67853" w:rsidRDefault="00DD2DA8">
            <w:r>
              <w:rPr>
                <w:sz w:val="18"/>
                <w:szCs w:val="18"/>
              </w:rPr>
              <w:t>Epochs</w:t>
            </w:r>
          </w:p>
        </w:tc>
        <w:tc>
          <w:tcPr>
            <w:tcW w:w="0" w:type="auto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5D1E919B" w14:textId="77777777" w:rsidR="00B67853" w:rsidRDefault="00DD2DA8">
            <w:pPr>
              <w:jc w:val="center"/>
            </w:pPr>
            <w:r>
              <w:rPr>
                <w:sz w:val="18"/>
                <w:szCs w:val="18"/>
              </w:rPr>
              <w:t>120</w:t>
            </w:r>
          </w:p>
        </w:tc>
      </w:tr>
      <w:tr w:rsidR="00B67853" w14:paraId="47434E94" w14:textId="77777777">
        <w:tc>
          <w:tcPr>
            <w:tcW w:w="0" w:type="auto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3296B96C" w14:textId="77777777" w:rsidR="00B67853" w:rsidRDefault="00DD2DA8">
            <w:r>
              <w:rPr>
                <w:sz w:val="18"/>
                <w:szCs w:val="18"/>
              </w:rPr>
              <w:t>Early-stopping patience</w:t>
            </w:r>
          </w:p>
        </w:tc>
        <w:tc>
          <w:tcPr>
            <w:tcW w:w="0" w:type="auto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5B542CB0" w14:textId="77777777" w:rsidR="00B67853" w:rsidRDefault="00DD2DA8">
            <w:pPr>
              <w:jc w:val="center"/>
            </w:pPr>
            <w:r>
              <w:rPr>
                <w:sz w:val="18"/>
                <w:szCs w:val="18"/>
              </w:rPr>
              <w:t>15</w:t>
            </w:r>
          </w:p>
        </w:tc>
      </w:tr>
    </w:tbl>
    <w:p w14:paraId="7C2A5A28" w14:textId="77777777" w:rsidR="00B67853" w:rsidRDefault="00DD2DA8">
      <w:pPr>
        <w:spacing w:after="160"/>
      </w:pPr>
      <w:r>
        <w:t xml:space="preserve"> </w:t>
      </w:r>
    </w:p>
    <w:p w14:paraId="7FD19AED" w14:textId="77777777" w:rsidR="00B67853" w:rsidRDefault="00DD2DA8">
      <w:pPr>
        <w:pStyle w:val="Heading2"/>
      </w:pPr>
      <w:r>
        <w:t>4.3. Baselines and metrics</w:t>
      </w:r>
    </w:p>
    <w:p w14:paraId="2731739B" w14:textId="77777777" w:rsidR="00B67853" w:rsidRDefault="00DD2DA8">
      <w:pPr>
        <w:spacing w:after="80" w:line="260" w:lineRule="auto"/>
        <w:jc w:val="both"/>
      </w:pPr>
      <w:r>
        <w:t>The proposed model was compared against seven baselines covering classical ML (logistic regression, random forest), feed-forward networks (MLP, VAE [7]), and transformer-only, GNN-only and fusion-based deep learning designs (MOMA-Net [21]). Performance was measured with AUROC, AUPRC, F1-score and expected calibration error (ECE) under five-fold stratified cross-validation [16]. Statistical significance was assessed with the DeLong test for AUROC differences [25].</w:t>
      </w:r>
    </w:p>
    <w:p w14:paraId="2F2CBE60" w14:textId="77777777" w:rsidR="00B67853" w:rsidRDefault="00DD2DA8">
      <w:pPr>
        <w:pStyle w:val="Heading1"/>
      </w:pPr>
      <w:r>
        <w:t>5. Results</w:t>
      </w:r>
    </w:p>
    <w:p w14:paraId="62904423" w14:textId="77777777" w:rsidR="00B67853" w:rsidRDefault="00DD2DA8">
      <w:pPr>
        <w:pStyle w:val="Heading2"/>
      </w:pPr>
      <w:r>
        <w:t>5.1. Overall predictive performance</w:t>
      </w:r>
    </w:p>
    <w:p w14:paraId="5392D5B2" w14:textId="77777777" w:rsidR="00B67853" w:rsidRDefault="00DD2DA8">
      <w:pPr>
        <w:spacing w:after="80" w:line="260" w:lineRule="auto"/>
        <w:jc w:val="both"/>
      </w:pPr>
      <w:r>
        <w:t>Table 3 reports the mean performance across the three cohorts. The proposed T-GNN achieves the highest score on every metric. Fig. 2 visualises AUROC comparisons with 5-fold error bars, and Fig. 3 plots per-cohort ROC curves of the proposed model.</w:t>
      </w:r>
    </w:p>
    <w:p w14:paraId="431CE57B" w14:textId="77777777" w:rsidR="00B67853" w:rsidRDefault="00DD2DA8">
      <w:pPr>
        <w:spacing w:before="100" w:after="40"/>
      </w:pPr>
      <w:r>
        <w:rPr>
          <w:b/>
          <w:bCs/>
        </w:rPr>
        <w:t>Table 3</w:t>
      </w:r>
    </w:p>
    <w:p w14:paraId="469C7507" w14:textId="77777777" w:rsidR="00B67853" w:rsidRDefault="00DD2DA8">
      <w:pPr>
        <w:spacing w:before="60" w:after="140"/>
        <w:jc w:val="both"/>
      </w:pPr>
      <w:r>
        <w:rPr>
          <w:sz w:val="18"/>
          <w:szCs w:val="18"/>
        </w:rPr>
        <w:t xml:space="preserve">Predictive performance across the three TCGA cohorts. Values are </w:t>
      </w:r>
      <w:proofErr w:type="gramStart"/>
      <w:r>
        <w:rPr>
          <w:sz w:val="18"/>
          <w:szCs w:val="18"/>
        </w:rPr>
        <w:t>averages</w:t>
      </w:r>
      <w:proofErr w:type="gramEnd"/>
      <w:r>
        <w:rPr>
          <w:sz w:val="18"/>
          <w:szCs w:val="18"/>
        </w:rPr>
        <w:t xml:space="preserve"> over five folds. Best score per column is shown in bold.</w:t>
      </w:r>
    </w:p>
    <w:tbl>
      <w:tblPr>
        <w:tblW w:w="45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63"/>
        <w:gridCol w:w="857"/>
        <w:gridCol w:w="825"/>
        <w:gridCol w:w="565"/>
        <w:gridCol w:w="565"/>
      </w:tblGrid>
      <w:tr w:rsidR="00B67853" w14:paraId="48E50D44" w14:textId="77777777" w:rsidTr="0049621B">
        <w:trPr>
          <w:trHeight w:val="317"/>
        </w:trPr>
        <w:tc>
          <w:tcPr>
            <w:tcW w:w="0" w:type="auto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7B42631C" w14:textId="77777777" w:rsidR="00B67853" w:rsidRDefault="00DD2DA8">
            <w:r>
              <w:rPr>
                <w:b/>
                <w:bCs/>
                <w:sz w:val="19"/>
                <w:szCs w:val="19"/>
              </w:rPr>
              <w:t>Model</w:t>
            </w:r>
          </w:p>
        </w:tc>
        <w:tc>
          <w:tcPr>
            <w:tcW w:w="0" w:type="auto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3CE113A5" w14:textId="77777777" w:rsidR="00B67853" w:rsidRDefault="00DD2DA8">
            <w:pPr>
              <w:jc w:val="center"/>
            </w:pPr>
            <w:r>
              <w:rPr>
                <w:b/>
                <w:bCs/>
                <w:sz w:val="19"/>
                <w:szCs w:val="19"/>
              </w:rPr>
              <w:t>AUROC</w:t>
            </w:r>
          </w:p>
        </w:tc>
        <w:tc>
          <w:tcPr>
            <w:tcW w:w="0" w:type="auto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21BB7F21" w14:textId="77777777" w:rsidR="00B67853" w:rsidRDefault="00DD2DA8">
            <w:pPr>
              <w:jc w:val="center"/>
            </w:pPr>
            <w:r>
              <w:rPr>
                <w:b/>
                <w:bCs/>
                <w:sz w:val="19"/>
                <w:szCs w:val="19"/>
              </w:rPr>
              <w:t>AUPRC</w:t>
            </w:r>
          </w:p>
        </w:tc>
        <w:tc>
          <w:tcPr>
            <w:tcW w:w="0" w:type="auto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3108D4D4" w14:textId="77777777" w:rsidR="00B67853" w:rsidRDefault="00DD2DA8">
            <w:pPr>
              <w:jc w:val="center"/>
            </w:pPr>
            <w:r>
              <w:rPr>
                <w:b/>
                <w:bCs/>
                <w:sz w:val="19"/>
                <w:szCs w:val="19"/>
              </w:rPr>
              <w:t>F1</w:t>
            </w:r>
          </w:p>
        </w:tc>
        <w:tc>
          <w:tcPr>
            <w:tcW w:w="0" w:type="auto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3AD99990" w14:textId="77777777" w:rsidR="00B67853" w:rsidRDefault="00DD2DA8">
            <w:pPr>
              <w:jc w:val="center"/>
            </w:pPr>
            <w:r>
              <w:rPr>
                <w:b/>
                <w:bCs/>
                <w:sz w:val="19"/>
                <w:szCs w:val="19"/>
              </w:rPr>
              <w:t>ECE</w:t>
            </w:r>
          </w:p>
        </w:tc>
      </w:tr>
      <w:tr w:rsidR="00B67853" w14:paraId="7BF45BE7" w14:textId="77777777" w:rsidTr="0049621B">
        <w:trPr>
          <w:trHeight w:val="303"/>
        </w:trPr>
        <w:tc>
          <w:tcPr>
            <w:tcW w:w="0" w:type="auto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163ACF62" w14:textId="77777777" w:rsidR="00B67853" w:rsidRDefault="00DD2DA8">
            <w:r>
              <w:rPr>
                <w:sz w:val="18"/>
                <w:szCs w:val="18"/>
              </w:rPr>
              <w:t>Logistic regression</w:t>
            </w:r>
          </w:p>
        </w:tc>
        <w:tc>
          <w:tcPr>
            <w:tcW w:w="0" w:type="auto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6932A8BB" w14:textId="77777777" w:rsidR="00B67853" w:rsidRDefault="00DD2DA8">
            <w:pPr>
              <w:jc w:val="center"/>
            </w:pPr>
            <w:r>
              <w:rPr>
                <w:sz w:val="18"/>
                <w:szCs w:val="18"/>
              </w:rPr>
              <w:t>0.781</w:t>
            </w:r>
          </w:p>
        </w:tc>
        <w:tc>
          <w:tcPr>
            <w:tcW w:w="0" w:type="auto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57800EBC" w14:textId="77777777" w:rsidR="00B67853" w:rsidRDefault="00DD2DA8">
            <w:pPr>
              <w:jc w:val="center"/>
            </w:pPr>
            <w:r>
              <w:rPr>
                <w:sz w:val="18"/>
                <w:szCs w:val="18"/>
              </w:rPr>
              <w:t>0.742</w:t>
            </w:r>
          </w:p>
        </w:tc>
        <w:tc>
          <w:tcPr>
            <w:tcW w:w="0" w:type="auto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66C2255A" w14:textId="77777777" w:rsidR="00B67853" w:rsidRDefault="00DD2DA8">
            <w:pPr>
              <w:jc w:val="center"/>
            </w:pPr>
            <w:r>
              <w:rPr>
                <w:sz w:val="18"/>
                <w:szCs w:val="18"/>
              </w:rPr>
              <w:t>0.706</w:t>
            </w:r>
          </w:p>
        </w:tc>
        <w:tc>
          <w:tcPr>
            <w:tcW w:w="0" w:type="auto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411FCC7B" w14:textId="77777777" w:rsidR="00B67853" w:rsidRDefault="00DD2DA8">
            <w:pPr>
              <w:jc w:val="center"/>
            </w:pPr>
            <w:r>
              <w:rPr>
                <w:sz w:val="18"/>
                <w:szCs w:val="18"/>
              </w:rPr>
              <w:t>0.091</w:t>
            </w:r>
          </w:p>
        </w:tc>
      </w:tr>
      <w:tr w:rsidR="00B67853" w14:paraId="164A3EF1" w14:textId="77777777" w:rsidTr="0049621B">
        <w:trPr>
          <w:trHeight w:val="288"/>
        </w:trPr>
        <w:tc>
          <w:tcPr>
            <w:tcW w:w="0" w:type="auto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6876A939" w14:textId="77777777" w:rsidR="00B67853" w:rsidRDefault="00DD2DA8">
            <w:r>
              <w:rPr>
                <w:sz w:val="18"/>
                <w:szCs w:val="18"/>
              </w:rPr>
              <w:t>Random forest</w:t>
            </w:r>
          </w:p>
        </w:tc>
        <w:tc>
          <w:tcPr>
            <w:tcW w:w="0" w:type="auto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2B46D6BC" w14:textId="77777777" w:rsidR="00B67853" w:rsidRDefault="00DD2DA8">
            <w:pPr>
              <w:jc w:val="center"/>
            </w:pPr>
            <w:r>
              <w:rPr>
                <w:sz w:val="18"/>
                <w:szCs w:val="18"/>
              </w:rPr>
              <w:t>0.812</w:t>
            </w:r>
          </w:p>
        </w:tc>
        <w:tc>
          <w:tcPr>
            <w:tcW w:w="0" w:type="auto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57A8BAC5" w14:textId="77777777" w:rsidR="00B67853" w:rsidRDefault="00DD2DA8">
            <w:pPr>
              <w:jc w:val="center"/>
            </w:pPr>
            <w:r>
              <w:rPr>
                <w:sz w:val="18"/>
                <w:szCs w:val="18"/>
              </w:rPr>
              <w:t>0.779</w:t>
            </w:r>
          </w:p>
        </w:tc>
        <w:tc>
          <w:tcPr>
            <w:tcW w:w="0" w:type="auto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7F11F48D" w14:textId="77777777" w:rsidR="00B67853" w:rsidRDefault="00DD2DA8">
            <w:pPr>
              <w:jc w:val="center"/>
            </w:pPr>
            <w:r>
              <w:rPr>
                <w:sz w:val="18"/>
                <w:szCs w:val="18"/>
              </w:rPr>
              <w:t>0.736</w:t>
            </w:r>
          </w:p>
        </w:tc>
        <w:tc>
          <w:tcPr>
            <w:tcW w:w="0" w:type="auto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6EDFAF05" w14:textId="77777777" w:rsidR="00B67853" w:rsidRDefault="00DD2DA8">
            <w:pPr>
              <w:jc w:val="center"/>
            </w:pPr>
            <w:r>
              <w:rPr>
                <w:sz w:val="18"/>
                <w:szCs w:val="18"/>
              </w:rPr>
              <w:t>0.084</w:t>
            </w:r>
          </w:p>
        </w:tc>
      </w:tr>
      <w:tr w:rsidR="00B67853" w14:paraId="48CF4D3F" w14:textId="77777777" w:rsidTr="0049621B">
        <w:trPr>
          <w:trHeight w:val="303"/>
        </w:trPr>
        <w:tc>
          <w:tcPr>
            <w:tcW w:w="0" w:type="auto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395D5B39" w14:textId="77777777" w:rsidR="00B67853" w:rsidRDefault="00DD2DA8">
            <w:r>
              <w:rPr>
                <w:sz w:val="18"/>
                <w:szCs w:val="18"/>
              </w:rPr>
              <w:t>Multi-layer perceptron</w:t>
            </w:r>
          </w:p>
        </w:tc>
        <w:tc>
          <w:tcPr>
            <w:tcW w:w="0" w:type="auto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4D8171F9" w14:textId="77777777" w:rsidR="00B67853" w:rsidRDefault="00DD2DA8">
            <w:pPr>
              <w:jc w:val="center"/>
            </w:pPr>
            <w:r>
              <w:rPr>
                <w:sz w:val="18"/>
                <w:szCs w:val="18"/>
              </w:rPr>
              <w:t>0.834</w:t>
            </w:r>
          </w:p>
        </w:tc>
        <w:tc>
          <w:tcPr>
            <w:tcW w:w="0" w:type="auto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79FE363E" w14:textId="77777777" w:rsidR="00B67853" w:rsidRDefault="00DD2DA8">
            <w:pPr>
              <w:jc w:val="center"/>
            </w:pPr>
            <w:r>
              <w:rPr>
                <w:sz w:val="18"/>
                <w:szCs w:val="18"/>
              </w:rPr>
              <w:t>0.801</w:t>
            </w:r>
          </w:p>
        </w:tc>
        <w:tc>
          <w:tcPr>
            <w:tcW w:w="0" w:type="auto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2873F218" w14:textId="77777777" w:rsidR="00B67853" w:rsidRDefault="00DD2DA8">
            <w:pPr>
              <w:jc w:val="center"/>
            </w:pPr>
            <w:r>
              <w:rPr>
                <w:sz w:val="18"/>
                <w:szCs w:val="18"/>
              </w:rPr>
              <w:t>0.758</w:t>
            </w:r>
          </w:p>
        </w:tc>
        <w:tc>
          <w:tcPr>
            <w:tcW w:w="0" w:type="auto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031B4915" w14:textId="77777777" w:rsidR="00B67853" w:rsidRDefault="00DD2DA8">
            <w:pPr>
              <w:jc w:val="center"/>
            </w:pPr>
            <w:r>
              <w:rPr>
                <w:sz w:val="18"/>
                <w:szCs w:val="18"/>
              </w:rPr>
              <w:t>0.077</w:t>
            </w:r>
          </w:p>
        </w:tc>
      </w:tr>
      <w:tr w:rsidR="00B67853" w14:paraId="72358C69" w14:textId="77777777" w:rsidTr="0049621B">
        <w:trPr>
          <w:trHeight w:val="303"/>
        </w:trPr>
        <w:tc>
          <w:tcPr>
            <w:tcW w:w="0" w:type="auto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53D34095" w14:textId="77777777" w:rsidR="00B67853" w:rsidRDefault="00DD2DA8">
            <w:r>
              <w:rPr>
                <w:sz w:val="18"/>
                <w:szCs w:val="18"/>
              </w:rPr>
              <w:t>Variational autoencoder</w:t>
            </w:r>
          </w:p>
        </w:tc>
        <w:tc>
          <w:tcPr>
            <w:tcW w:w="0" w:type="auto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6A6164AD" w14:textId="77777777" w:rsidR="00B67853" w:rsidRDefault="00DD2DA8">
            <w:pPr>
              <w:jc w:val="center"/>
            </w:pPr>
            <w:r>
              <w:rPr>
                <w:sz w:val="18"/>
                <w:szCs w:val="18"/>
              </w:rPr>
              <w:t>0.851</w:t>
            </w:r>
          </w:p>
        </w:tc>
        <w:tc>
          <w:tcPr>
            <w:tcW w:w="0" w:type="auto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356024CE" w14:textId="77777777" w:rsidR="00B67853" w:rsidRDefault="00DD2DA8">
            <w:pPr>
              <w:jc w:val="center"/>
            </w:pPr>
            <w:r>
              <w:rPr>
                <w:sz w:val="18"/>
                <w:szCs w:val="18"/>
              </w:rPr>
              <w:t>0.819</w:t>
            </w:r>
          </w:p>
        </w:tc>
        <w:tc>
          <w:tcPr>
            <w:tcW w:w="0" w:type="auto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4470B227" w14:textId="77777777" w:rsidR="00B67853" w:rsidRDefault="00DD2DA8">
            <w:pPr>
              <w:jc w:val="center"/>
            </w:pPr>
            <w:r>
              <w:rPr>
                <w:sz w:val="18"/>
                <w:szCs w:val="18"/>
              </w:rPr>
              <w:t>0.776</w:t>
            </w:r>
          </w:p>
        </w:tc>
        <w:tc>
          <w:tcPr>
            <w:tcW w:w="0" w:type="auto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326F484D" w14:textId="77777777" w:rsidR="00B67853" w:rsidRDefault="00DD2DA8">
            <w:pPr>
              <w:jc w:val="center"/>
            </w:pPr>
            <w:r>
              <w:rPr>
                <w:sz w:val="18"/>
                <w:szCs w:val="18"/>
              </w:rPr>
              <w:t>0.069</w:t>
            </w:r>
          </w:p>
        </w:tc>
      </w:tr>
      <w:tr w:rsidR="00B67853" w14:paraId="1DA13F68" w14:textId="77777777" w:rsidTr="0049621B">
        <w:trPr>
          <w:trHeight w:val="288"/>
        </w:trPr>
        <w:tc>
          <w:tcPr>
            <w:tcW w:w="0" w:type="auto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0B587B34" w14:textId="77777777" w:rsidR="00B67853" w:rsidRDefault="00DD2DA8">
            <w:r>
              <w:rPr>
                <w:sz w:val="18"/>
                <w:szCs w:val="18"/>
              </w:rPr>
              <w:t>Transformer-only</w:t>
            </w:r>
          </w:p>
        </w:tc>
        <w:tc>
          <w:tcPr>
            <w:tcW w:w="0" w:type="auto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5C7B3276" w14:textId="77777777" w:rsidR="00B67853" w:rsidRDefault="00DD2DA8">
            <w:pPr>
              <w:jc w:val="center"/>
            </w:pPr>
            <w:r>
              <w:rPr>
                <w:sz w:val="18"/>
                <w:szCs w:val="18"/>
              </w:rPr>
              <w:t>0.874</w:t>
            </w:r>
          </w:p>
        </w:tc>
        <w:tc>
          <w:tcPr>
            <w:tcW w:w="0" w:type="auto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7D4BB806" w14:textId="77777777" w:rsidR="00B67853" w:rsidRDefault="00DD2DA8">
            <w:pPr>
              <w:jc w:val="center"/>
            </w:pPr>
            <w:r>
              <w:rPr>
                <w:sz w:val="18"/>
                <w:szCs w:val="18"/>
              </w:rPr>
              <w:t>0.844</w:t>
            </w:r>
          </w:p>
        </w:tc>
        <w:tc>
          <w:tcPr>
            <w:tcW w:w="0" w:type="auto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5CDFB23E" w14:textId="77777777" w:rsidR="00B67853" w:rsidRDefault="00DD2DA8">
            <w:pPr>
              <w:jc w:val="center"/>
            </w:pPr>
            <w:r>
              <w:rPr>
                <w:sz w:val="18"/>
                <w:szCs w:val="18"/>
              </w:rPr>
              <w:t>0.803</w:t>
            </w:r>
          </w:p>
        </w:tc>
        <w:tc>
          <w:tcPr>
            <w:tcW w:w="0" w:type="auto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0CC5DC4D" w14:textId="77777777" w:rsidR="00B67853" w:rsidRDefault="00DD2DA8">
            <w:pPr>
              <w:jc w:val="center"/>
            </w:pPr>
            <w:r>
              <w:rPr>
                <w:sz w:val="18"/>
                <w:szCs w:val="18"/>
              </w:rPr>
              <w:t>0.058</w:t>
            </w:r>
          </w:p>
        </w:tc>
      </w:tr>
      <w:tr w:rsidR="00B67853" w14:paraId="7C02DB9F" w14:textId="77777777" w:rsidTr="0049621B">
        <w:trPr>
          <w:trHeight w:val="303"/>
        </w:trPr>
        <w:tc>
          <w:tcPr>
            <w:tcW w:w="0" w:type="auto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4E0A2C8E" w14:textId="77777777" w:rsidR="00B67853" w:rsidRDefault="00DD2DA8">
            <w:r>
              <w:rPr>
                <w:sz w:val="18"/>
                <w:szCs w:val="18"/>
              </w:rPr>
              <w:t>GCN-only (STRING prior)</w:t>
            </w:r>
          </w:p>
        </w:tc>
        <w:tc>
          <w:tcPr>
            <w:tcW w:w="0" w:type="auto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775C3121" w14:textId="77777777" w:rsidR="00B67853" w:rsidRDefault="00DD2DA8">
            <w:pPr>
              <w:jc w:val="center"/>
            </w:pPr>
            <w:r>
              <w:rPr>
                <w:sz w:val="18"/>
                <w:szCs w:val="18"/>
              </w:rPr>
              <w:t>0.868</w:t>
            </w:r>
          </w:p>
        </w:tc>
        <w:tc>
          <w:tcPr>
            <w:tcW w:w="0" w:type="auto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26D5AE42" w14:textId="77777777" w:rsidR="00B67853" w:rsidRDefault="00DD2DA8">
            <w:pPr>
              <w:jc w:val="center"/>
            </w:pPr>
            <w:r>
              <w:rPr>
                <w:sz w:val="18"/>
                <w:szCs w:val="18"/>
              </w:rPr>
              <w:t>0.838</w:t>
            </w:r>
          </w:p>
        </w:tc>
        <w:tc>
          <w:tcPr>
            <w:tcW w:w="0" w:type="auto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6E8AE9C6" w14:textId="77777777" w:rsidR="00B67853" w:rsidRDefault="00DD2DA8">
            <w:pPr>
              <w:jc w:val="center"/>
            </w:pPr>
            <w:r>
              <w:rPr>
                <w:sz w:val="18"/>
                <w:szCs w:val="18"/>
              </w:rPr>
              <w:t>0.797</w:t>
            </w:r>
          </w:p>
        </w:tc>
        <w:tc>
          <w:tcPr>
            <w:tcW w:w="0" w:type="auto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62373BED" w14:textId="77777777" w:rsidR="00B67853" w:rsidRDefault="00DD2DA8">
            <w:pPr>
              <w:jc w:val="center"/>
            </w:pPr>
            <w:r>
              <w:rPr>
                <w:sz w:val="18"/>
                <w:szCs w:val="18"/>
              </w:rPr>
              <w:t>0.061</w:t>
            </w:r>
          </w:p>
        </w:tc>
      </w:tr>
      <w:tr w:rsidR="00B67853" w14:paraId="1070D8B3" w14:textId="77777777" w:rsidTr="0049621B">
        <w:trPr>
          <w:trHeight w:val="303"/>
        </w:trPr>
        <w:tc>
          <w:tcPr>
            <w:tcW w:w="0" w:type="auto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14B04B84" w14:textId="77777777" w:rsidR="00B67853" w:rsidRDefault="00DD2DA8">
            <w:r>
              <w:rPr>
                <w:sz w:val="18"/>
                <w:szCs w:val="18"/>
              </w:rPr>
              <w:t>MOMA-Net [21]</w:t>
            </w:r>
          </w:p>
        </w:tc>
        <w:tc>
          <w:tcPr>
            <w:tcW w:w="0" w:type="auto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4A4DB808" w14:textId="77777777" w:rsidR="00B67853" w:rsidRDefault="00DD2DA8">
            <w:pPr>
              <w:jc w:val="center"/>
            </w:pPr>
            <w:r>
              <w:rPr>
                <w:sz w:val="18"/>
                <w:szCs w:val="18"/>
              </w:rPr>
              <w:t>0.883</w:t>
            </w:r>
          </w:p>
        </w:tc>
        <w:tc>
          <w:tcPr>
            <w:tcW w:w="0" w:type="auto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2299E3C6" w14:textId="77777777" w:rsidR="00B67853" w:rsidRDefault="00DD2DA8">
            <w:pPr>
              <w:jc w:val="center"/>
            </w:pPr>
            <w:r>
              <w:rPr>
                <w:sz w:val="18"/>
                <w:szCs w:val="18"/>
              </w:rPr>
              <w:t>0.856</w:t>
            </w:r>
          </w:p>
        </w:tc>
        <w:tc>
          <w:tcPr>
            <w:tcW w:w="0" w:type="auto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04C3E6BE" w14:textId="77777777" w:rsidR="00B67853" w:rsidRDefault="00DD2DA8">
            <w:pPr>
              <w:jc w:val="center"/>
            </w:pPr>
            <w:r>
              <w:rPr>
                <w:sz w:val="18"/>
                <w:szCs w:val="18"/>
              </w:rPr>
              <w:t>0.814</w:t>
            </w:r>
          </w:p>
        </w:tc>
        <w:tc>
          <w:tcPr>
            <w:tcW w:w="0" w:type="auto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6A77C942" w14:textId="77777777" w:rsidR="00B67853" w:rsidRDefault="00DD2DA8">
            <w:pPr>
              <w:jc w:val="center"/>
            </w:pPr>
            <w:r>
              <w:rPr>
                <w:sz w:val="18"/>
                <w:szCs w:val="18"/>
              </w:rPr>
              <w:t>0.052</w:t>
            </w:r>
          </w:p>
        </w:tc>
      </w:tr>
      <w:tr w:rsidR="00B67853" w14:paraId="0B600BC3" w14:textId="77777777" w:rsidTr="0049621B">
        <w:trPr>
          <w:trHeight w:val="288"/>
        </w:trPr>
        <w:tc>
          <w:tcPr>
            <w:tcW w:w="0" w:type="auto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5435F7D5" w14:textId="77777777" w:rsidR="00B67853" w:rsidRDefault="00DD2DA8">
            <w:r>
              <w:rPr>
                <w:b/>
                <w:bCs/>
                <w:sz w:val="18"/>
                <w:szCs w:val="18"/>
              </w:rPr>
              <w:t>Proposed T-GNN (ours)</w:t>
            </w:r>
          </w:p>
        </w:tc>
        <w:tc>
          <w:tcPr>
            <w:tcW w:w="0" w:type="auto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3571980C" w14:textId="77777777" w:rsidR="00B67853" w:rsidRDefault="00DD2DA8">
            <w:pPr>
              <w:jc w:val="center"/>
            </w:pPr>
            <w:r>
              <w:rPr>
                <w:b/>
                <w:bCs/>
                <w:sz w:val="18"/>
                <w:szCs w:val="18"/>
              </w:rPr>
              <w:t>0.912</w:t>
            </w:r>
          </w:p>
        </w:tc>
        <w:tc>
          <w:tcPr>
            <w:tcW w:w="0" w:type="auto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61E2CCE3" w14:textId="77777777" w:rsidR="00B67853" w:rsidRDefault="00DD2DA8">
            <w:pPr>
              <w:jc w:val="center"/>
            </w:pPr>
            <w:r>
              <w:rPr>
                <w:b/>
                <w:bCs/>
                <w:sz w:val="18"/>
                <w:szCs w:val="18"/>
              </w:rPr>
              <w:t>0.889</w:t>
            </w:r>
          </w:p>
        </w:tc>
        <w:tc>
          <w:tcPr>
            <w:tcW w:w="0" w:type="auto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54DB1A13" w14:textId="77777777" w:rsidR="00B67853" w:rsidRDefault="00DD2DA8">
            <w:pPr>
              <w:jc w:val="center"/>
            </w:pPr>
            <w:r>
              <w:rPr>
                <w:b/>
                <w:bCs/>
                <w:sz w:val="18"/>
                <w:szCs w:val="18"/>
              </w:rPr>
              <w:t>0.847</w:t>
            </w:r>
          </w:p>
        </w:tc>
        <w:tc>
          <w:tcPr>
            <w:tcW w:w="0" w:type="auto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74841D2C" w14:textId="77777777" w:rsidR="00B67853" w:rsidRDefault="00DD2DA8">
            <w:pPr>
              <w:jc w:val="center"/>
            </w:pPr>
            <w:r>
              <w:rPr>
                <w:b/>
                <w:bCs/>
                <w:sz w:val="18"/>
                <w:szCs w:val="18"/>
              </w:rPr>
              <w:t>0.041</w:t>
            </w:r>
          </w:p>
        </w:tc>
      </w:tr>
    </w:tbl>
    <w:p w14:paraId="7EAFE52B" w14:textId="77777777" w:rsidR="00B67853" w:rsidRDefault="00DD2DA8">
      <w:pPr>
        <w:spacing w:after="160"/>
      </w:pPr>
      <w:r>
        <w:t xml:space="preserve"> </w:t>
      </w:r>
    </w:p>
    <w:p w14:paraId="3CF79EB4" w14:textId="77777777" w:rsidR="00B67853" w:rsidRDefault="00DD2DA8">
      <w:pPr>
        <w:spacing w:before="80" w:after="40"/>
        <w:jc w:val="center"/>
      </w:pPr>
      <w:r>
        <w:rPr>
          <w:noProof/>
        </w:rPr>
        <w:drawing>
          <wp:inline distT="0" distB="0" distL="0" distR="0" wp14:anchorId="5ABC4ACB" wp14:editId="12B93FE5">
            <wp:extent cx="2711669" cy="1680669"/>
            <wp:effectExtent l="0" t="0" r="0" b="0"/>
            <wp:docPr id="1437380029" name="figure" descr="figure" title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6399" cy="16897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903171" w14:textId="77777777" w:rsidR="00B67853" w:rsidRDefault="00DD2DA8">
      <w:pPr>
        <w:spacing w:before="60" w:after="140"/>
        <w:jc w:val="both"/>
      </w:pPr>
      <w:r>
        <w:rPr>
          <w:b/>
          <w:bCs/>
          <w:sz w:val="18"/>
          <w:szCs w:val="18"/>
        </w:rPr>
        <w:t xml:space="preserve">Fig. 2. </w:t>
      </w:r>
      <w:r>
        <w:rPr>
          <w:sz w:val="18"/>
          <w:szCs w:val="18"/>
        </w:rPr>
        <w:t xml:space="preserve">Mean AUROC (+/- 1 </w:t>
      </w:r>
      <w:proofErr w:type="spellStart"/>
      <w:r>
        <w:rPr>
          <w:sz w:val="18"/>
          <w:szCs w:val="18"/>
        </w:rPr>
        <w:t>s.d.</w:t>
      </w:r>
      <w:proofErr w:type="spellEnd"/>
      <w:r>
        <w:rPr>
          <w:sz w:val="18"/>
          <w:szCs w:val="18"/>
        </w:rPr>
        <w:t>) of eight competing models across the three TCGA cohorts. LR: logistic regression; RF: random forest; MLP: multi-layer perceptron; VAE: variational autoencoder; TF: transformer-only; GCN: GCN-only; MOMA: MOMA-Net. The proposed T-GNN (Ours) achieves the highest AUROC with the smallest standard deviation.</w:t>
      </w:r>
    </w:p>
    <w:p w14:paraId="70C56B8D" w14:textId="77777777" w:rsidR="00B67853" w:rsidRDefault="00DD2DA8">
      <w:pPr>
        <w:spacing w:before="80" w:after="40"/>
        <w:jc w:val="center"/>
      </w:pPr>
      <w:r>
        <w:rPr>
          <w:noProof/>
        </w:rPr>
        <w:drawing>
          <wp:inline distT="0" distB="0" distL="0" distR="0" wp14:anchorId="5BCB2016" wp14:editId="0A0840F5">
            <wp:extent cx="3000618" cy="2287971"/>
            <wp:effectExtent l="0" t="0" r="9525" b="0"/>
            <wp:docPr id="1168159563" name="figure" descr="figure" title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2987" cy="22974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BC0692" w14:textId="77777777" w:rsidR="00B67853" w:rsidRDefault="00DD2DA8">
      <w:pPr>
        <w:spacing w:before="60" w:after="140"/>
        <w:jc w:val="both"/>
      </w:pPr>
      <w:r>
        <w:rPr>
          <w:b/>
          <w:bCs/>
          <w:sz w:val="18"/>
          <w:szCs w:val="18"/>
        </w:rPr>
        <w:t xml:space="preserve">Fig. 3. </w:t>
      </w:r>
      <w:r>
        <w:rPr>
          <w:sz w:val="18"/>
          <w:szCs w:val="18"/>
        </w:rPr>
        <w:t>Receiver-operating-characteristic (ROC) curves of the proposed T-GNN on the BRCA, LUAD and COAD cohorts. Dashed grey line indicates chance-level performance.</w:t>
      </w:r>
    </w:p>
    <w:p w14:paraId="2854F3AB" w14:textId="77777777" w:rsidR="00B67853" w:rsidRDefault="00DD2DA8">
      <w:pPr>
        <w:pStyle w:val="Heading2"/>
      </w:pPr>
      <w:r>
        <w:t>5.2. Ablation study</w:t>
      </w:r>
    </w:p>
    <w:p w14:paraId="5E14BEC9" w14:textId="77777777" w:rsidR="00B67853" w:rsidRDefault="00DD2DA8">
      <w:pPr>
        <w:spacing w:after="80" w:line="260" w:lineRule="auto"/>
        <w:jc w:val="both"/>
      </w:pPr>
      <w:r>
        <w:t>Table 4 quantifies the contribution of each architectural component. Removing the GCN module ("w/o GNN") reduces AUROC by 2.6 points; removing the attention fusion head ("w/o fusion") reduces it by 1.9 points. Temperature scaling is most important for calibration - dropping it more than doubles the ECE.</w:t>
      </w:r>
    </w:p>
    <w:p w14:paraId="5CE812CA" w14:textId="77777777" w:rsidR="00B67853" w:rsidRDefault="00DD2DA8">
      <w:pPr>
        <w:spacing w:before="100" w:after="40"/>
      </w:pPr>
      <w:r>
        <w:rPr>
          <w:b/>
          <w:bCs/>
        </w:rPr>
        <w:t>Table 4</w:t>
      </w:r>
    </w:p>
    <w:p w14:paraId="4E25AD31" w14:textId="77777777" w:rsidR="00B67853" w:rsidRDefault="00DD2DA8">
      <w:pPr>
        <w:spacing w:before="60" w:after="140"/>
        <w:jc w:val="both"/>
      </w:pPr>
      <w:r>
        <w:rPr>
          <w:sz w:val="18"/>
          <w:szCs w:val="18"/>
        </w:rPr>
        <w:t>Ablation study: AUROC and ECE when individual components are removed from the proposed T-GNN framework. Δ-AUROC and Δ-ECE denote the change relative to the full model (negative = worse predictive performance).</w:t>
      </w:r>
    </w:p>
    <w:tbl>
      <w:tblPr>
        <w:tblW w:w="4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75"/>
        <w:gridCol w:w="900"/>
        <w:gridCol w:w="990"/>
        <w:gridCol w:w="953"/>
        <w:gridCol w:w="667"/>
      </w:tblGrid>
      <w:tr w:rsidR="00B67853" w14:paraId="38E7A700" w14:textId="77777777" w:rsidTr="0049621B">
        <w:tc>
          <w:tcPr>
            <w:tcW w:w="1075" w:type="dxa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16721A87" w14:textId="77777777" w:rsidR="00B67853" w:rsidRDefault="00DD2DA8">
            <w:r>
              <w:rPr>
                <w:b/>
                <w:bCs/>
                <w:sz w:val="19"/>
                <w:szCs w:val="19"/>
              </w:rPr>
              <w:t>Variant</w:t>
            </w:r>
          </w:p>
        </w:tc>
        <w:tc>
          <w:tcPr>
            <w:tcW w:w="900" w:type="dxa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32706BD6" w14:textId="77777777" w:rsidR="00B67853" w:rsidRDefault="00DD2DA8">
            <w:pPr>
              <w:jc w:val="center"/>
            </w:pPr>
            <w:r>
              <w:rPr>
                <w:b/>
                <w:bCs/>
                <w:sz w:val="19"/>
                <w:szCs w:val="19"/>
              </w:rPr>
              <w:t>AUROC</w:t>
            </w:r>
          </w:p>
        </w:tc>
        <w:tc>
          <w:tcPr>
            <w:tcW w:w="990" w:type="dxa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1DE5AC76" w14:textId="77777777" w:rsidR="00B67853" w:rsidRDefault="00DD2DA8">
            <w:pPr>
              <w:jc w:val="center"/>
            </w:pPr>
            <w:r>
              <w:rPr>
                <w:b/>
                <w:bCs/>
                <w:sz w:val="19"/>
                <w:szCs w:val="19"/>
              </w:rPr>
              <w:t>Δ-AUROC</w:t>
            </w:r>
          </w:p>
        </w:tc>
        <w:tc>
          <w:tcPr>
            <w:tcW w:w="0" w:type="auto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0F15FBCB" w14:textId="77777777" w:rsidR="00B67853" w:rsidRDefault="00DD2DA8">
            <w:pPr>
              <w:jc w:val="center"/>
            </w:pPr>
            <w:r>
              <w:rPr>
                <w:b/>
                <w:bCs/>
                <w:sz w:val="19"/>
                <w:szCs w:val="19"/>
              </w:rPr>
              <w:t>ECE</w:t>
            </w:r>
          </w:p>
        </w:tc>
        <w:tc>
          <w:tcPr>
            <w:tcW w:w="580" w:type="dxa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596954D0" w14:textId="77777777" w:rsidR="00B67853" w:rsidRDefault="00DD2DA8">
            <w:pPr>
              <w:jc w:val="center"/>
            </w:pPr>
            <w:r>
              <w:rPr>
                <w:b/>
                <w:bCs/>
                <w:sz w:val="19"/>
                <w:szCs w:val="19"/>
              </w:rPr>
              <w:t>Δ-ECE</w:t>
            </w:r>
          </w:p>
        </w:tc>
      </w:tr>
      <w:tr w:rsidR="00B67853" w14:paraId="399AABD1" w14:textId="77777777" w:rsidTr="0049621B">
        <w:tc>
          <w:tcPr>
            <w:tcW w:w="1075" w:type="dxa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29FE7302" w14:textId="77777777" w:rsidR="00B67853" w:rsidRDefault="00DD2DA8">
            <w:r>
              <w:rPr>
                <w:sz w:val="18"/>
                <w:szCs w:val="18"/>
              </w:rPr>
              <w:t>Full model (Ours)</w:t>
            </w:r>
          </w:p>
        </w:tc>
        <w:tc>
          <w:tcPr>
            <w:tcW w:w="900" w:type="dxa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218EDC8F" w14:textId="77777777" w:rsidR="00B67853" w:rsidRDefault="00DD2DA8">
            <w:pPr>
              <w:jc w:val="center"/>
            </w:pPr>
            <w:r>
              <w:rPr>
                <w:sz w:val="18"/>
                <w:szCs w:val="18"/>
              </w:rPr>
              <w:t>0.912</w:t>
            </w:r>
          </w:p>
        </w:tc>
        <w:tc>
          <w:tcPr>
            <w:tcW w:w="990" w:type="dxa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00B022B5" w14:textId="77777777" w:rsidR="00B67853" w:rsidRDefault="00DD2DA8">
            <w:pPr>
              <w:jc w:val="center"/>
            </w:pPr>
            <w:r>
              <w:rPr>
                <w:sz w:val="18"/>
                <w:szCs w:val="18"/>
              </w:rPr>
              <w:t>—</w:t>
            </w:r>
          </w:p>
        </w:tc>
        <w:tc>
          <w:tcPr>
            <w:tcW w:w="0" w:type="auto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00303B8C" w14:textId="77777777" w:rsidR="00B67853" w:rsidRDefault="00DD2DA8">
            <w:pPr>
              <w:jc w:val="center"/>
            </w:pPr>
            <w:r>
              <w:rPr>
                <w:sz w:val="18"/>
                <w:szCs w:val="18"/>
              </w:rPr>
              <w:t>0.041</w:t>
            </w:r>
          </w:p>
        </w:tc>
        <w:tc>
          <w:tcPr>
            <w:tcW w:w="580" w:type="dxa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55690968" w14:textId="77777777" w:rsidR="00B67853" w:rsidRDefault="00DD2DA8">
            <w:pPr>
              <w:jc w:val="center"/>
            </w:pPr>
            <w:r>
              <w:rPr>
                <w:sz w:val="18"/>
                <w:szCs w:val="18"/>
              </w:rPr>
              <w:t>—</w:t>
            </w:r>
          </w:p>
        </w:tc>
      </w:tr>
      <w:tr w:rsidR="00B67853" w14:paraId="1F4FCD86" w14:textId="77777777" w:rsidTr="0049621B">
        <w:tc>
          <w:tcPr>
            <w:tcW w:w="1075" w:type="dxa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7DBE3482" w14:textId="77777777" w:rsidR="00B67853" w:rsidRDefault="00DD2DA8">
            <w:r>
              <w:rPr>
                <w:sz w:val="18"/>
                <w:szCs w:val="18"/>
              </w:rPr>
              <w:t>w/o GNN</w:t>
            </w:r>
          </w:p>
        </w:tc>
        <w:tc>
          <w:tcPr>
            <w:tcW w:w="900" w:type="dxa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04F1594A" w14:textId="77777777" w:rsidR="00B67853" w:rsidRDefault="00DD2DA8">
            <w:pPr>
              <w:jc w:val="center"/>
            </w:pPr>
            <w:r>
              <w:rPr>
                <w:sz w:val="18"/>
                <w:szCs w:val="18"/>
              </w:rPr>
              <w:t>0.886</w:t>
            </w:r>
          </w:p>
        </w:tc>
        <w:tc>
          <w:tcPr>
            <w:tcW w:w="990" w:type="dxa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39FB1B50" w14:textId="77777777" w:rsidR="00B67853" w:rsidRDefault="00DD2DA8">
            <w:pPr>
              <w:jc w:val="center"/>
            </w:pPr>
            <w:r>
              <w:rPr>
                <w:sz w:val="18"/>
                <w:szCs w:val="18"/>
              </w:rPr>
              <w:t>-0.026</w:t>
            </w:r>
          </w:p>
        </w:tc>
        <w:tc>
          <w:tcPr>
            <w:tcW w:w="0" w:type="auto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7153A513" w14:textId="77777777" w:rsidR="00B67853" w:rsidRDefault="00DD2DA8">
            <w:pPr>
              <w:jc w:val="center"/>
            </w:pPr>
            <w:r>
              <w:rPr>
                <w:sz w:val="18"/>
                <w:szCs w:val="18"/>
              </w:rPr>
              <w:t>0.051</w:t>
            </w:r>
          </w:p>
        </w:tc>
        <w:tc>
          <w:tcPr>
            <w:tcW w:w="580" w:type="dxa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30F0C203" w14:textId="77777777" w:rsidR="00B67853" w:rsidRDefault="00DD2DA8">
            <w:pPr>
              <w:jc w:val="center"/>
            </w:pPr>
            <w:r>
              <w:rPr>
                <w:sz w:val="18"/>
                <w:szCs w:val="18"/>
              </w:rPr>
              <w:t>+0.010</w:t>
            </w:r>
          </w:p>
        </w:tc>
      </w:tr>
      <w:tr w:rsidR="00B67853" w14:paraId="5D06E314" w14:textId="77777777" w:rsidTr="0049621B">
        <w:tc>
          <w:tcPr>
            <w:tcW w:w="1075" w:type="dxa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538C5EC0" w14:textId="77777777" w:rsidR="00B67853" w:rsidRDefault="00DD2DA8">
            <w:r>
              <w:rPr>
                <w:sz w:val="18"/>
                <w:szCs w:val="18"/>
              </w:rPr>
              <w:t>w/o fusion head</w:t>
            </w:r>
          </w:p>
        </w:tc>
        <w:tc>
          <w:tcPr>
            <w:tcW w:w="900" w:type="dxa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4B1BDA1E" w14:textId="77777777" w:rsidR="00B67853" w:rsidRDefault="00DD2DA8">
            <w:pPr>
              <w:jc w:val="center"/>
            </w:pPr>
            <w:r>
              <w:rPr>
                <w:sz w:val="18"/>
                <w:szCs w:val="18"/>
              </w:rPr>
              <w:t>0.893</w:t>
            </w:r>
          </w:p>
        </w:tc>
        <w:tc>
          <w:tcPr>
            <w:tcW w:w="990" w:type="dxa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068BA019" w14:textId="77777777" w:rsidR="00B67853" w:rsidRDefault="00DD2DA8">
            <w:pPr>
              <w:jc w:val="center"/>
            </w:pPr>
            <w:r>
              <w:rPr>
                <w:sz w:val="18"/>
                <w:szCs w:val="18"/>
              </w:rPr>
              <w:t>-0.019</w:t>
            </w:r>
          </w:p>
        </w:tc>
        <w:tc>
          <w:tcPr>
            <w:tcW w:w="0" w:type="auto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3589817A" w14:textId="77777777" w:rsidR="00B67853" w:rsidRDefault="00DD2DA8">
            <w:pPr>
              <w:jc w:val="center"/>
            </w:pPr>
            <w:r>
              <w:rPr>
                <w:sz w:val="18"/>
                <w:szCs w:val="18"/>
              </w:rPr>
              <w:t>0.057</w:t>
            </w:r>
          </w:p>
        </w:tc>
        <w:tc>
          <w:tcPr>
            <w:tcW w:w="580" w:type="dxa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7738E71B" w14:textId="77777777" w:rsidR="00B67853" w:rsidRDefault="00DD2DA8">
            <w:pPr>
              <w:jc w:val="center"/>
            </w:pPr>
            <w:r>
              <w:rPr>
                <w:sz w:val="18"/>
                <w:szCs w:val="18"/>
              </w:rPr>
              <w:t>+0.016</w:t>
            </w:r>
          </w:p>
        </w:tc>
      </w:tr>
      <w:tr w:rsidR="00B67853" w14:paraId="0799315D" w14:textId="77777777" w:rsidTr="0049621B">
        <w:tc>
          <w:tcPr>
            <w:tcW w:w="1075" w:type="dxa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6C42623C" w14:textId="77777777" w:rsidR="00B67853" w:rsidRDefault="00DD2DA8">
            <w:r>
              <w:rPr>
                <w:sz w:val="18"/>
                <w:szCs w:val="18"/>
              </w:rPr>
              <w:lastRenderedPageBreak/>
              <w:t>w/o temperature scaling</w:t>
            </w:r>
          </w:p>
        </w:tc>
        <w:tc>
          <w:tcPr>
            <w:tcW w:w="900" w:type="dxa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49BF8E2F" w14:textId="77777777" w:rsidR="00B67853" w:rsidRDefault="00DD2DA8">
            <w:pPr>
              <w:jc w:val="center"/>
            </w:pPr>
            <w:r>
              <w:rPr>
                <w:sz w:val="18"/>
                <w:szCs w:val="18"/>
              </w:rPr>
              <w:t>0.909</w:t>
            </w:r>
          </w:p>
        </w:tc>
        <w:tc>
          <w:tcPr>
            <w:tcW w:w="990" w:type="dxa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54BE7A9D" w14:textId="77777777" w:rsidR="00B67853" w:rsidRDefault="00DD2DA8">
            <w:pPr>
              <w:jc w:val="center"/>
            </w:pPr>
            <w:r>
              <w:rPr>
                <w:sz w:val="18"/>
                <w:szCs w:val="18"/>
              </w:rPr>
              <w:t>-0.003</w:t>
            </w:r>
          </w:p>
        </w:tc>
        <w:tc>
          <w:tcPr>
            <w:tcW w:w="0" w:type="auto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2A72B533" w14:textId="77777777" w:rsidR="00B67853" w:rsidRDefault="00DD2DA8">
            <w:pPr>
              <w:jc w:val="center"/>
            </w:pPr>
            <w:r>
              <w:rPr>
                <w:sz w:val="18"/>
                <w:szCs w:val="18"/>
              </w:rPr>
              <w:t>0.089</w:t>
            </w:r>
          </w:p>
        </w:tc>
        <w:tc>
          <w:tcPr>
            <w:tcW w:w="580" w:type="dxa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0D9E290B" w14:textId="77777777" w:rsidR="00B67853" w:rsidRDefault="00DD2DA8">
            <w:pPr>
              <w:jc w:val="center"/>
            </w:pPr>
            <w:r>
              <w:rPr>
                <w:sz w:val="18"/>
                <w:szCs w:val="18"/>
              </w:rPr>
              <w:t>+0.048</w:t>
            </w:r>
          </w:p>
        </w:tc>
      </w:tr>
      <w:tr w:rsidR="00B67853" w14:paraId="2A3A1709" w14:textId="77777777" w:rsidTr="0049621B">
        <w:tc>
          <w:tcPr>
            <w:tcW w:w="1075" w:type="dxa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1B077043" w14:textId="77777777" w:rsidR="00B67853" w:rsidRDefault="00DD2DA8">
            <w:r>
              <w:rPr>
                <w:sz w:val="18"/>
                <w:szCs w:val="18"/>
              </w:rPr>
              <w:t>w/o STRING prior</w:t>
            </w:r>
          </w:p>
        </w:tc>
        <w:tc>
          <w:tcPr>
            <w:tcW w:w="900" w:type="dxa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076A8C04" w14:textId="77777777" w:rsidR="00B67853" w:rsidRDefault="00DD2DA8">
            <w:pPr>
              <w:jc w:val="center"/>
            </w:pPr>
            <w:r>
              <w:rPr>
                <w:sz w:val="18"/>
                <w:szCs w:val="18"/>
              </w:rPr>
              <w:t>0.899</w:t>
            </w:r>
          </w:p>
        </w:tc>
        <w:tc>
          <w:tcPr>
            <w:tcW w:w="990" w:type="dxa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1D8A287B" w14:textId="77777777" w:rsidR="00B67853" w:rsidRDefault="00DD2DA8">
            <w:pPr>
              <w:jc w:val="center"/>
            </w:pPr>
            <w:r>
              <w:rPr>
                <w:sz w:val="18"/>
                <w:szCs w:val="18"/>
              </w:rPr>
              <w:t>-0.013</w:t>
            </w:r>
          </w:p>
        </w:tc>
        <w:tc>
          <w:tcPr>
            <w:tcW w:w="0" w:type="auto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583FC4E8" w14:textId="77777777" w:rsidR="00B67853" w:rsidRDefault="00DD2DA8">
            <w:pPr>
              <w:jc w:val="center"/>
            </w:pPr>
            <w:r>
              <w:rPr>
                <w:sz w:val="18"/>
                <w:szCs w:val="18"/>
              </w:rPr>
              <w:t>0.048</w:t>
            </w:r>
          </w:p>
        </w:tc>
        <w:tc>
          <w:tcPr>
            <w:tcW w:w="580" w:type="dxa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2171EA66" w14:textId="77777777" w:rsidR="00B67853" w:rsidRDefault="00DD2DA8">
            <w:pPr>
              <w:jc w:val="center"/>
            </w:pPr>
            <w:r>
              <w:rPr>
                <w:sz w:val="18"/>
                <w:szCs w:val="18"/>
              </w:rPr>
              <w:t>+0.007</w:t>
            </w:r>
          </w:p>
        </w:tc>
      </w:tr>
      <w:tr w:rsidR="00B67853" w14:paraId="3E74D609" w14:textId="77777777" w:rsidTr="0049621B">
        <w:tc>
          <w:tcPr>
            <w:tcW w:w="1075" w:type="dxa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11926ECB" w14:textId="77777777" w:rsidR="00B67853" w:rsidRDefault="00DD2DA8">
            <w:r>
              <w:rPr>
                <w:sz w:val="18"/>
                <w:szCs w:val="18"/>
              </w:rPr>
              <w:t>w/o residual (GCN)</w:t>
            </w:r>
          </w:p>
        </w:tc>
        <w:tc>
          <w:tcPr>
            <w:tcW w:w="900" w:type="dxa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39B10FE7" w14:textId="77777777" w:rsidR="00B67853" w:rsidRDefault="00DD2DA8">
            <w:pPr>
              <w:jc w:val="center"/>
            </w:pPr>
            <w:r>
              <w:rPr>
                <w:sz w:val="18"/>
                <w:szCs w:val="18"/>
              </w:rPr>
              <w:t>0.904</w:t>
            </w:r>
          </w:p>
        </w:tc>
        <w:tc>
          <w:tcPr>
            <w:tcW w:w="990" w:type="dxa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58BBE68F" w14:textId="77777777" w:rsidR="00B67853" w:rsidRDefault="00DD2DA8">
            <w:pPr>
              <w:jc w:val="center"/>
            </w:pPr>
            <w:r>
              <w:rPr>
                <w:sz w:val="18"/>
                <w:szCs w:val="18"/>
              </w:rPr>
              <w:t>-0.008</w:t>
            </w:r>
          </w:p>
        </w:tc>
        <w:tc>
          <w:tcPr>
            <w:tcW w:w="0" w:type="auto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3B88ED64" w14:textId="77777777" w:rsidR="00B67853" w:rsidRDefault="00DD2DA8">
            <w:pPr>
              <w:jc w:val="center"/>
            </w:pPr>
            <w:r>
              <w:rPr>
                <w:sz w:val="18"/>
                <w:szCs w:val="18"/>
              </w:rPr>
              <w:t>0.045</w:t>
            </w:r>
          </w:p>
        </w:tc>
        <w:tc>
          <w:tcPr>
            <w:tcW w:w="580" w:type="dxa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0F07EF52" w14:textId="77777777" w:rsidR="00B67853" w:rsidRDefault="00DD2DA8">
            <w:pPr>
              <w:jc w:val="center"/>
            </w:pPr>
            <w:r>
              <w:rPr>
                <w:sz w:val="18"/>
                <w:szCs w:val="18"/>
              </w:rPr>
              <w:t>+0.004</w:t>
            </w:r>
          </w:p>
        </w:tc>
      </w:tr>
    </w:tbl>
    <w:p w14:paraId="2343E86B" w14:textId="77777777" w:rsidR="00B67853" w:rsidRDefault="00DD2DA8">
      <w:pPr>
        <w:spacing w:after="160"/>
      </w:pPr>
      <w:r>
        <w:t xml:space="preserve"> </w:t>
      </w:r>
    </w:p>
    <w:p w14:paraId="7F381FD8" w14:textId="77777777" w:rsidR="00B67853" w:rsidRDefault="00DD2DA8">
      <w:pPr>
        <w:pStyle w:val="Heading2"/>
      </w:pPr>
      <w:r>
        <w:t>5.3. Interpretability analysis</w:t>
      </w:r>
    </w:p>
    <w:p w14:paraId="272A8C8B" w14:textId="77777777" w:rsidR="00B67853" w:rsidRDefault="00DD2DA8">
      <w:pPr>
        <w:spacing w:after="80" w:line="260" w:lineRule="auto"/>
        <w:jc w:val="both"/>
      </w:pPr>
      <w:r>
        <w:t>To assess whether the proposed framework reasons in biologically plausible ways we performed a SHAP analysis [26] on the BRCA cohort. Fig. 4 shows the top-10 features ranked by mean absolute SHAP value. The top contributors - TP53, BRCA1, ESR1, ERBB2 and PIK3CA - are all well-established breast-cancer risk markers, providing external validation of the learned representations.</w:t>
      </w:r>
    </w:p>
    <w:p w14:paraId="265E79B4" w14:textId="77777777" w:rsidR="00B67853" w:rsidRDefault="00DD2DA8">
      <w:pPr>
        <w:spacing w:before="80" w:after="40"/>
        <w:jc w:val="center"/>
      </w:pPr>
      <w:r>
        <w:rPr>
          <w:noProof/>
        </w:rPr>
        <w:drawing>
          <wp:inline distT="0" distB="0" distL="0" distR="0" wp14:anchorId="40F1938A" wp14:editId="4A1360DA">
            <wp:extent cx="3093492" cy="2041245"/>
            <wp:effectExtent l="0" t="0" r="0" b="0"/>
            <wp:docPr id="1077986333" name="figure" descr="figure" title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4384" cy="2055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6FB3A1" w14:textId="77777777" w:rsidR="00B67853" w:rsidRDefault="00DD2DA8">
      <w:pPr>
        <w:spacing w:before="60" w:after="140"/>
        <w:jc w:val="both"/>
      </w:pPr>
      <w:r>
        <w:rPr>
          <w:b/>
          <w:bCs/>
          <w:sz w:val="18"/>
          <w:szCs w:val="18"/>
        </w:rPr>
        <w:t xml:space="preserve">Fig. 4. </w:t>
      </w:r>
      <w:r>
        <w:rPr>
          <w:sz w:val="18"/>
          <w:szCs w:val="18"/>
        </w:rPr>
        <w:t>Top-10 features ranked by mean absolute SHAP value on the BRCA cohort. Colour indicates the omics modality of origin. Recovered drivers include canonical breast-cancer risk genes (TP53, BRCA1, ERBB2), supporting the biological plausibility of the learned representations.</w:t>
      </w:r>
    </w:p>
    <w:p w14:paraId="054AD4AD" w14:textId="77777777" w:rsidR="00B67853" w:rsidRDefault="00DD2DA8">
      <w:pPr>
        <w:pStyle w:val="Heading1"/>
      </w:pPr>
      <w:r>
        <w:t>6. Discussion</w:t>
      </w:r>
    </w:p>
    <w:p w14:paraId="22CD9245" w14:textId="77777777" w:rsidR="00B67853" w:rsidRDefault="00DD2DA8">
      <w:pPr>
        <w:spacing w:after="80" w:line="260" w:lineRule="auto"/>
        <w:jc w:val="both"/>
      </w:pPr>
      <w:r>
        <w:t>The consistent gains of the proposed framework across three cohorts suggest that biologically-informed attention architectures generalise better than flat fusion designs. Calibration improvements are particularly notable: an ECE of 0.041 is comparable to best-practice benchmarks in clinical machine-learning literature [16]. Nevertheless, several limitations remain. First, the STRING-derived graph is static; future work could explore learnable edge weights or patient-specific graph induction [27]. Second, transfer across populations with different ancestry or clinical protocols has not been evaluated here and merits dedicated study.</w:t>
      </w:r>
    </w:p>
    <w:p w14:paraId="437114FE" w14:textId="77777777" w:rsidR="00B67853" w:rsidRDefault="00DD2DA8">
      <w:pPr>
        <w:pStyle w:val="Heading1"/>
      </w:pPr>
      <w:r>
        <w:t>7. Conclusions</w:t>
      </w:r>
    </w:p>
    <w:p w14:paraId="643F2964" w14:textId="77777777" w:rsidR="00B67853" w:rsidRDefault="00DD2DA8">
      <w:pPr>
        <w:spacing w:after="80" w:line="260" w:lineRule="auto"/>
        <w:jc w:val="both"/>
      </w:pPr>
      <w:r>
        <w:t xml:space="preserve">We introduced a hybrid Transformer-GNN framework for multi-omics disease risk prediction that achieves state-of-the-art accuracy on three TCGA cohorts while maintaining well-calibrated probabilities and offering </w:t>
      </w:r>
      <w:r>
        <w:t>biologically interpretable explanations. Future work will extend the framework to longitudinal electronic health records and evaluate its behaviour under federated training protocols suitable for clinical deployment [28].</w:t>
      </w:r>
    </w:p>
    <w:p w14:paraId="6623C85A" w14:textId="77777777" w:rsidR="00B67853" w:rsidRDefault="00DD2DA8">
      <w:pPr>
        <w:pStyle w:val="Heading1"/>
      </w:pPr>
      <w:proofErr w:type="spellStart"/>
      <w:r>
        <w:t>CRediT</w:t>
      </w:r>
      <w:proofErr w:type="spellEnd"/>
      <w:r>
        <w:t xml:space="preserve"> authorship contribution statement</w:t>
      </w:r>
    </w:p>
    <w:p w14:paraId="05CA1B89" w14:textId="77777777" w:rsidR="00B67853" w:rsidRDefault="00DD2DA8">
      <w:pPr>
        <w:spacing w:after="80" w:line="260" w:lineRule="auto"/>
        <w:jc w:val="both"/>
      </w:pPr>
      <w:r>
        <w:rPr>
          <w:b/>
          <w:bCs/>
        </w:rPr>
        <w:t xml:space="preserve">M. Mallikarjuna Rao: </w:t>
      </w:r>
      <w:r>
        <w:t xml:space="preserve">Conceptualization, Methodology, Software, Writing - original draft. </w:t>
      </w:r>
      <w:r>
        <w:rPr>
          <w:b/>
          <w:bCs/>
        </w:rPr>
        <w:t xml:space="preserve">C. Manjunath: </w:t>
      </w:r>
      <w:r>
        <w:t xml:space="preserve">Validation, Formal analysis, Writing - review &amp; editing. </w:t>
      </w:r>
      <w:r>
        <w:rPr>
          <w:b/>
          <w:bCs/>
        </w:rPr>
        <w:t xml:space="preserve">D. Venkatesh: </w:t>
      </w:r>
      <w:r>
        <w:t xml:space="preserve">Data curation, Investigation. </w:t>
      </w:r>
      <w:r>
        <w:rPr>
          <w:b/>
          <w:bCs/>
        </w:rPr>
        <w:t xml:space="preserve">R. Srinivasulu: </w:t>
      </w:r>
      <w:r>
        <w:t>Supervision, Project administration.</w:t>
      </w:r>
    </w:p>
    <w:p w14:paraId="358F0D65" w14:textId="77777777" w:rsidR="00B67853" w:rsidRDefault="00DD2DA8">
      <w:pPr>
        <w:pStyle w:val="Heading1"/>
      </w:pPr>
      <w:r>
        <w:t>Declaration of competing interest</w:t>
      </w:r>
    </w:p>
    <w:p w14:paraId="4C019F20" w14:textId="77777777" w:rsidR="00B67853" w:rsidRDefault="00DD2DA8">
      <w:pPr>
        <w:spacing w:after="80" w:line="260" w:lineRule="auto"/>
        <w:jc w:val="both"/>
      </w:pPr>
      <w:r>
        <w:t>The authors declare that they have no known competing financial interests or personal relationships that could have appeared to influence the work reported in this paper.</w:t>
      </w:r>
    </w:p>
    <w:p w14:paraId="75427ABE" w14:textId="77777777" w:rsidR="00B67853" w:rsidRDefault="00DD2DA8">
      <w:pPr>
        <w:pStyle w:val="Heading1"/>
      </w:pPr>
      <w:r>
        <w:t>Data availability</w:t>
      </w:r>
    </w:p>
    <w:p w14:paraId="126BCF5A" w14:textId="77777777" w:rsidR="00B67853" w:rsidRDefault="00DD2DA8">
      <w:pPr>
        <w:spacing w:after="80" w:line="260" w:lineRule="auto"/>
        <w:jc w:val="both"/>
      </w:pPr>
      <w:r>
        <w:t>All datasets used in this study are publicly available through the Genomic Data Commons (https://portal.gdc.cancer.gov). Source code and pretrained weights will be released at the publisher's companion repository upon publication.</w:t>
      </w:r>
    </w:p>
    <w:p w14:paraId="4CFE5AC7" w14:textId="77777777" w:rsidR="00B67853" w:rsidRDefault="00DD2DA8">
      <w:pPr>
        <w:pStyle w:val="Heading1"/>
      </w:pPr>
      <w:r>
        <w:t>Acknowledgements</w:t>
      </w:r>
    </w:p>
    <w:p w14:paraId="54ED6F24" w14:textId="77777777" w:rsidR="00B67853" w:rsidRDefault="00DD2DA8">
      <w:pPr>
        <w:spacing w:after="80" w:line="260" w:lineRule="auto"/>
        <w:jc w:val="both"/>
      </w:pPr>
      <w:r>
        <w:t>The authors thank the Department of Computer Science and Design, PVKK Institute of Technology, for computational resources, and the TCGA Research Network for providing open access to the multi-omics datasets used in this study. This research did not receive any specific grant from funding agencies in the public, commercial or not-for-profit sectors.</w:t>
      </w:r>
    </w:p>
    <w:p w14:paraId="33CD92AB" w14:textId="77777777" w:rsidR="00B67853" w:rsidRDefault="00DD2DA8">
      <w:pPr>
        <w:pStyle w:val="Heading1"/>
      </w:pPr>
      <w:r>
        <w:t>References</w:t>
      </w:r>
    </w:p>
    <w:p w14:paraId="708074BF" w14:textId="77777777" w:rsidR="00B67853" w:rsidRDefault="00DD2DA8">
      <w:pPr>
        <w:spacing w:after="30" w:line="230" w:lineRule="auto"/>
        <w:ind w:left="340" w:hanging="340"/>
        <w:jc w:val="both"/>
      </w:pPr>
      <w:r>
        <w:rPr>
          <w:sz w:val="18"/>
          <w:szCs w:val="18"/>
        </w:rPr>
        <w:t>[1</w:t>
      </w:r>
      <w:proofErr w:type="gramStart"/>
      <w:r>
        <w:rPr>
          <w:sz w:val="18"/>
          <w:szCs w:val="18"/>
        </w:rPr>
        <w:t>]  Y.</w:t>
      </w:r>
      <w:proofErr w:type="gramEnd"/>
      <w:r>
        <w:rPr>
          <w:sz w:val="18"/>
          <w:szCs w:val="18"/>
        </w:rPr>
        <w:t xml:space="preserve"> LeCun, Y. Bengio, G. Hinton, Deep learning, Nature 521 (7553) (2015) 436-444.</w:t>
      </w:r>
    </w:p>
    <w:p w14:paraId="0B0BC04C" w14:textId="77777777" w:rsidR="00B67853" w:rsidRDefault="00DD2DA8">
      <w:pPr>
        <w:spacing w:after="30" w:line="230" w:lineRule="auto"/>
        <w:ind w:left="340" w:hanging="340"/>
        <w:jc w:val="both"/>
      </w:pPr>
      <w:r>
        <w:rPr>
          <w:sz w:val="18"/>
          <w:szCs w:val="18"/>
        </w:rPr>
        <w:t>[2</w:t>
      </w:r>
      <w:proofErr w:type="gramStart"/>
      <w:r>
        <w:rPr>
          <w:sz w:val="18"/>
          <w:szCs w:val="18"/>
        </w:rPr>
        <w:t>]  E.J.</w:t>
      </w:r>
      <w:proofErr w:type="gramEnd"/>
      <w:r>
        <w:rPr>
          <w:sz w:val="18"/>
          <w:szCs w:val="18"/>
        </w:rPr>
        <w:t xml:space="preserve"> Topol, High-performance medicine: the convergence of human and artificial intelligence, Nature Medicine 25 (1) (2019) 44-56.</w:t>
      </w:r>
    </w:p>
    <w:p w14:paraId="5CDCCF4B" w14:textId="77777777" w:rsidR="00B67853" w:rsidRDefault="00DD2DA8">
      <w:pPr>
        <w:spacing w:after="30" w:line="230" w:lineRule="auto"/>
        <w:ind w:left="340" w:hanging="340"/>
        <w:jc w:val="both"/>
      </w:pPr>
      <w:r>
        <w:rPr>
          <w:sz w:val="18"/>
          <w:szCs w:val="18"/>
        </w:rPr>
        <w:t>[3</w:t>
      </w:r>
      <w:proofErr w:type="gramStart"/>
      <w:r>
        <w:rPr>
          <w:sz w:val="18"/>
          <w:szCs w:val="18"/>
        </w:rPr>
        <w:t>]  K.</w:t>
      </w:r>
      <w:proofErr w:type="gramEnd"/>
      <w:r>
        <w:rPr>
          <w:sz w:val="18"/>
          <w:szCs w:val="18"/>
        </w:rPr>
        <w:t xml:space="preserve">-H. Yu, A.L. Beam, I.S. </w:t>
      </w:r>
      <w:proofErr w:type="spellStart"/>
      <w:r>
        <w:rPr>
          <w:sz w:val="18"/>
          <w:szCs w:val="18"/>
        </w:rPr>
        <w:t>Kohane</w:t>
      </w:r>
      <w:proofErr w:type="spellEnd"/>
      <w:r>
        <w:rPr>
          <w:sz w:val="18"/>
          <w:szCs w:val="18"/>
        </w:rPr>
        <w:t>, Artificial intelligence in healthcare, Nature Biomedical Engineering 2 (10) (2018) 719-731.</w:t>
      </w:r>
    </w:p>
    <w:p w14:paraId="1E09461E" w14:textId="77777777" w:rsidR="00B67853" w:rsidRDefault="00DD2DA8">
      <w:pPr>
        <w:spacing w:after="30" w:line="230" w:lineRule="auto"/>
        <w:ind w:left="340" w:hanging="340"/>
        <w:jc w:val="both"/>
      </w:pPr>
      <w:r>
        <w:rPr>
          <w:sz w:val="18"/>
          <w:szCs w:val="18"/>
        </w:rPr>
        <w:t>[4</w:t>
      </w:r>
      <w:proofErr w:type="gramStart"/>
      <w:r>
        <w:rPr>
          <w:sz w:val="18"/>
          <w:szCs w:val="18"/>
        </w:rPr>
        <w:t>]  S.</w:t>
      </w:r>
      <w:proofErr w:type="gramEnd"/>
      <w:r>
        <w:rPr>
          <w:sz w:val="18"/>
          <w:szCs w:val="18"/>
        </w:rPr>
        <w:t xml:space="preserve"> Huang, K. Chaudhary, L.X. Garmire, More is better: recent progress in multi-omics data integration methods, Frontiers in Genetics 8 (2017) 84.</w:t>
      </w:r>
    </w:p>
    <w:p w14:paraId="64D3A684" w14:textId="77777777" w:rsidR="00B67853" w:rsidRDefault="00DD2DA8">
      <w:pPr>
        <w:spacing w:after="30" w:line="230" w:lineRule="auto"/>
        <w:ind w:left="340" w:hanging="340"/>
        <w:jc w:val="both"/>
      </w:pPr>
      <w:r>
        <w:rPr>
          <w:sz w:val="18"/>
          <w:szCs w:val="18"/>
        </w:rPr>
        <w:t>[5</w:t>
      </w:r>
      <w:proofErr w:type="gramStart"/>
      <w:r>
        <w:rPr>
          <w:sz w:val="18"/>
          <w:szCs w:val="18"/>
        </w:rPr>
        <w:t>]  N.</w:t>
      </w:r>
      <w:proofErr w:type="gramEnd"/>
      <w:r>
        <w:rPr>
          <w:sz w:val="18"/>
          <w:szCs w:val="18"/>
        </w:rPr>
        <w:t xml:space="preserve"> Rappoport, R. Shamir, Multi-</w:t>
      </w:r>
      <w:proofErr w:type="spellStart"/>
      <w:r>
        <w:rPr>
          <w:sz w:val="18"/>
          <w:szCs w:val="18"/>
        </w:rPr>
        <w:t>omic</w:t>
      </w:r>
      <w:proofErr w:type="spellEnd"/>
      <w:r>
        <w:rPr>
          <w:sz w:val="18"/>
          <w:szCs w:val="18"/>
        </w:rPr>
        <w:t xml:space="preserve"> and multi-view clustering algorithms: review and cancer benchmark, Nucleic Acids Research 46 (20) (2018) 10546-10562.</w:t>
      </w:r>
    </w:p>
    <w:p w14:paraId="26A809F2" w14:textId="77777777" w:rsidR="00B67853" w:rsidRDefault="00DD2DA8">
      <w:pPr>
        <w:spacing w:after="30" w:line="230" w:lineRule="auto"/>
        <w:ind w:left="340" w:hanging="340"/>
        <w:jc w:val="both"/>
      </w:pPr>
      <w:r>
        <w:rPr>
          <w:sz w:val="18"/>
          <w:szCs w:val="18"/>
        </w:rPr>
        <w:t>[6</w:t>
      </w:r>
      <w:proofErr w:type="gramStart"/>
      <w:r>
        <w:rPr>
          <w:sz w:val="18"/>
          <w:szCs w:val="18"/>
        </w:rPr>
        <w:t>]  B.</w:t>
      </w:r>
      <w:proofErr w:type="gramEnd"/>
      <w:r>
        <w:rPr>
          <w:sz w:val="18"/>
          <w:szCs w:val="18"/>
        </w:rPr>
        <w:t xml:space="preserve"> Wang, A.M. Mezlini, F. Demir, M. Fiume, Z. Tu, M. </w:t>
      </w:r>
      <w:proofErr w:type="spellStart"/>
      <w:r>
        <w:rPr>
          <w:sz w:val="18"/>
          <w:szCs w:val="18"/>
        </w:rPr>
        <w:t>Brudno</w:t>
      </w:r>
      <w:proofErr w:type="spellEnd"/>
      <w:r>
        <w:rPr>
          <w:sz w:val="18"/>
          <w:szCs w:val="18"/>
        </w:rPr>
        <w:t xml:space="preserve">, B. </w:t>
      </w:r>
      <w:proofErr w:type="spellStart"/>
      <w:r>
        <w:rPr>
          <w:sz w:val="18"/>
          <w:szCs w:val="18"/>
        </w:rPr>
        <w:t>Haibe</w:t>
      </w:r>
      <w:proofErr w:type="spellEnd"/>
      <w:r>
        <w:rPr>
          <w:sz w:val="18"/>
          <w:szCs w:val="18"/>
        </w:rPr>
        <w:t>-Kains, A. Goldenberg, Similarity network fusion for aggregating data types on a genomic scale, Nature Methods 11 (3) (2014) 333-337.</w:t>
      </w:r>
    </w:p>
    <w:p w14:paraId="17924349" w14:textId="77777777" w:rsidR="00B67853" w:rsidRDefault="00DD2DA8">
      <w:pPr>
        <w:spacing w:after="30" w:line="230" w:lineRule="auto"/>
        <w:ind w:left="340" w:hanging="340"/>
        <w:jc w:val="both"/>
      </w:pPr>
      <w:r>
        <w:rPr>
          <w:sz w:val="18"/>
          <w:szCs w:val="18"/>
        </w:rPr>
        <w:t>[7</w:t>
      </w:r>
      <w:proofErr w:type="gramStart"/>
      <w:r>
        <w:rPr>
          <w:sz w:val="18"/>
          <w:szCs w:val="18"/>
        </w:rPr>
        <w:t>]  K.</w:t>
      </w:r>
      <w:proofErr w:type="gramEnd"/>
      <w:r>
        <w:rPr>
          <w:sz w:val="18"/>
          <w:szCs w:val="18"/>
        </w:rPr>
        <w:t xml:space="preserve"> Chaudhary, O.B. </w:t>
      </w:r>
      <w:proofErr w:type="spellStart"/>
      <w:r>
        <w:rPr>
          <w:sz w:val="18"/>
          <w:szCs w:val="18"/>
        </w:rPr>
        <w:t>Poirion</w:t>
      </w:r>
      <w:proofErr w:type="spellEnd"/>
      <w:r>
        <w:rPr>
          <w:sz w:val="18"/>
          <w:szCs w:val="18"/>
        </w:rPr>
        <w:t>, L. Lu, L.X. Garmire, Deep learning-based multi-omics integration robustly predicts survival in liver cancer, Clinical Cancer Research 24 (6) (2018) 1248-1259.</w:t>
      </w:r>
    </w:p>
    <w:p w14:paraId="612C0E1A" w14:textId="77777777" w:rsidR="00B67853" w:rsidRDefault="00DD2DA8">
      <w:pPr>
        <w:spacing w:after="30" w:line="230" w:lineRule="auto"/>
        <w:ind w:left="340" w:hanging="340"/>
        <w:jc w:val="both"/>
      </w:pPr>
      <w:r>
        <w:rPr>
          <w:sz w:val="18"/>
          <w:szCs w:val="18"/>
        </w:rPr>
        <w:t>[8</w:t>
      </w:r>
      <w:proofErr w:type="gramStart"/>
      <w:r>
        <w:rPr>
          <w:sz w:val="18"/>
          <w:szCs w:val="18"/>
        </w:rPr>
        <w:t>]  A.N.</w:t>
      </w:r>
      <w:proofErr w:type="gramEnd"/>
      <w:r>
        <w:rPr>
          <w:sz w:val="18"/>
          <w:szCs w:val="18"/>
        </w:rPr>
        <w:t xml:space="preserve"> Angelopoulos, S. Bates, A gentle introduction to conformal prediction and distribution-free uncertainty </w:t>
      </w:r>
      <w:r>
        <w:rPr>
          <w:sz w:val="18"/>
          <w:szCs w:val="18"/>
        </w:rPr>
        <w:lastRenderedPageBreak/>
        <w:t>quantification, Foundations and Trends in Machine Learning 16 (4) (2023) 494-591.</w:t>
      </w:r>
    </w:p>
    <w:p w14:paraId="7225D954" w14:textId="77777777" w:rsidR="00B67853" w:rsidRDefault="00DD2DA8">
      <w:pPr>
        <w:spacing w:after="30" w:line="230" w:lineRule="auto"/>
        <w:ind w:left="340" w:hanging="340"/>
        <w:jc w:val="both"/>
      </w:pPr>
      <w:r>
        <w:rPr>
          <w:sz w:val="18"/>
          <w:szCs w:val="18"/>
        </w:rPr>
        <w:t>[9</w:t>
      </w:r>
      <w:proofErr w:type="gramStart"/>
      <w:r>
        <w:rPr>
          <w:sz w:val="18"/>
          <w:szCs w:val="18"/>
        </w:rPr>
        <w:t>]  L.</w:t>
      </w:r>
      <w:proofErr w:type="gramEnd"/>
      <w:r>
        <w:rPr>
          <w:sz w:val="18"/>
          <w:szCs w:val="18"/>
        </w:rPr>
        <w:t xml:space="preserve"> Oakden-Rayner, J. </w:t>
      </w:r>
      <w:proofErr w:type="spellStart"/>
      <w:r>
        <w:rPr>
          <w:sz w:val="18"/>
          <w:szCs w:val="18"/>
        </w:rPr>
        <w:t>Dunnmon</w:t>
      </w:r>
      <w:proofErr w:type="spellEnd"/>
      <w:r>
        <w:rPr>
          <w:sz w:val="18"/>
          <w:szCs w:val="18"/>
        </w:rPr>
        <w:t>, G. Carneiro, C. Re, Hidden stratification causes clinically meaningful failures in machine learning for medical imaging, in: Proc. ACM Conference on Health, Inference, and Learning, 2020, pp. 151-159.</w:t>
      </w:r>
    </w:p>
    <w:p w14:paraId="310F5C36" w14:textId="77777777" w:rsidR="00B67853" w:rsidRDefault="00DD2DA8">
      <w:pPr>
        <w:spacing w:after="30" w:line="230" w:lineRule="auto"/>
        <w:ind w:left="340" w:hanging="340"/>
        <w:jc w:val="both"/>
      </w:pPr>
      <w:r>
        <w:rPr>
          <w:sz w:val="18"/>
          <w:szCs w:val="18"/>
        </w:rPr>
        <w:t xml:space="preserve">[10] A. Vaswani, N. </w:t>
      </w:r>
      <w:proofErr w:type="spellStart"/>
      <w:r>
        <w:rPr>
          <w:sz w:val="18"/>
          <w:szCs w:val="18"/>
        </w:rPr>
        <w:t>Shazeer</w:t>
      </w:r>
      <w:proofErr w:type="spellEnd"/>
      <w:r>
        <w:rPr>
          <w:sz w:val="18"/>
          <w:szCs w:val="18"/>
        </w:rPr>
        <w:t xml:space="preserve">, N. Parmar, J. </w:t>
      </w:r>
      <w:proofErr w:type="spellStart"/>
      <w:r>
        <w:rPr>
          <w:sz w:val="18"/>
          <w:szCs w:val="18"/>
        </w:rPr>
        <w:t>Uszkoreit</w:t>
      </w:r>
      <w:proofErr w:type="spellEnd"/>
      <w:r>
        <w:rPr>
          <w:sz w:val="18"/>
          <w:szCs w:val="18"/>
        </w:rPr>
        <w:t xml:space="preserve">, L. Jones, A.N. Gomez, L. Kaiser, I. </w:t>
      </w:r>
      <w:proofErr w:type="spellStart"/>
      <w:r>
        <w:rPr>
          <w:sz w:val="18"/>
          <w:szCs w:val="18"/>
        </w:rPr>
        <w:t>Polosukhin</w:t>
      </w:r>
      <w:proofErr w:type="spellEnd"/>
      <w:r>
        <w:rPr>
          <w:sz w:val="18"/>
          <w:szCs w:val="18"/>
        </w:rPr>
        <w:t>, Attention is all you need, in: Advances in Neural Information Processing Systems, Vol. 30, 2017, pp. 5998-6008.</w:t>
      </w:r>
    </w:p>
    <w:p w14:paraId="35513E49" w14:textId="77777777" w:rsidR="00B67853" w:rsidRDefault="00DD2DA8">
      <w:pPr>
        <w:spacing w:after="30" w:line="230" w:lineRule="auto"/>
        <w:ind w:left="340" w:hanging="340"/>
        <w:jc w:val="both"/>
      </w:pPr>
      <w:r>
        <w:rPr>
          <w:sz w:val="18"/>
          <w:szCs w:val="18"/>
        </w:rPr>
        <w:t xml:space="preserve">[11] Y. Rao, W. Zhao, B. Zhu, J. Lu, J. Zhou, </w:t>
      </w:r>
      <w:proofErr w:type="spellStart"/>
      <w:r>
        <w:rPr>
          <w:sz w:val="18"/>
          <w:szCs w:val="18"/>
        </w:rPr>
        <w:t>DynamicViT</w:t>
      </w:r>
      <w:proofErr w:type="spellEnd"/>
      <w:r>
        <w:rPr>
          <w:sz w:val="18"/>
          <w:szCs w:val="18"/>
        </w:rPr>
        <w:t xml:space="preserve">: efficient vision transformers with dynamic token </w:t>
      </w:r>
      <w:proofErr w:type="spellStart"/>
      <w:r>
        <w:rPr>
          <w:sz w:val="18"/>
          <w:szCs w:val="18"/>
        </w:rPr>
        <w:t>sparsification</w:t>
      </w:r>
      <w:proofErr w:type="spellEnd"/>
      <w:r>
        <w:rPr>
          <w:sz w:val="18"/>
          <w:szCs w:val="18"/>
        </w:rPr>
        <w:t>, in: Advances in Neural Information Processing Systems, Vol. 34, 2021, pp. 13937-13949.</w:t>
      </w:r>
    </w:p>
    <w:p w14:paraId="08CF58FB" w14:textId="77777777" w:rsidR="00B67853" w:rsidRDefault="00DD2DA8">
      <w:pPr>
        <w:spacing w:after="30" w:line="230" w:lineRule="auto"/>
        <w:ind w:left="340" w:hanging="340"/>
        <w:jc w:val="both"/>
      </w:pPr>
      <w:r>
        <w:rPr>
          <w:sz w:val="18"/>
          <w:szCs w:val="18"/>
        </w:rPr>
        <w:t>[12] T.N. Kipf, M. Welling, Semi-supervised classification with graph convolutional networks, in: Proc. International Conference on Learning Representations (ICLR), 2017.</w:t>
      </w:r>
    </w:p>
    <w:p w14:paraId="15953C39" w14:textId="77777777" w:rsidR="00B67853" w:rsidRDefault="00DD2DA8">
      <w:pPr>
        <w:spacing w:after="30" w:line="230" w:lineRule="auto"/>
        <w:ind w:left="340" w:hanging="340"/>
        <w:jc w:val="both"/>
      </w:pPr>
      <w:r>
        <w:rPr>
          <w:sz w:val="18"/>
          <w:szCs w:val="18"/>
        </w:rPr>
        <w:t>[13] W.L. Hamilton, R. Ying, J. Leskovec, Inductive representation learning on large graphs, in: Advances in Neural Information Processing Systems, Vol. 30, 2017, pp. 1024-1034.</w:t>
      </w:r>
    </w:p>
    <w:p w14:paraId="1934228A" w14:textId="77777777" w:rsidR="00B67853" w:rsidRDefault="00DD2DA8">
      <w:pPr>
        <w:spacing w:after="30" w:line="230" w:lineRule="auto"/>
        <w:ind w:left="340" w:hanging="340"/>
        <w:jc w:val="both"/>
      </w:pPr>
      <w:r>
        <w:rPr>
          <w:sz w:val="18"/>
          <w:szCs w:val="18"/>
        </w:rPr>
        <w:t xml:space="preserve">[14] D. Szklarczyk, R. Kirsch, M. </w:t>
      </w:r>
      <w:proofErr w:type="spellStart"/>
      <w:r>
        <w:rPr>
          <w:sz w:val="18"/>
          <w:szCs w:val="18"/>
        </w:rPr>
        <w:t>Koutrouli</w:t>
      </w:r>
      <w:proofErr w:type="spellEnd"/>
      <w:r>
        <w:rPr>
          <w:sz w:val="18"/>
          <w:szCs w:val="18"/>
        </w:rPr>
        <w:t xml:space="preserve">, K. </w:t>
      </w:r>
      <w:proofErr w:type="spellStart"/>
      <w:r>
        <w:rPr>
          <w:sz w:val="18"/>
          <w:szCs w:val="18"/>
        </w:rPr>
        <w:t>Nastou</w:t>
      </w:r>
      <w:proofErr w:type="spellEnd"/>
      <w:r>
        <w:rPr>
          <w:sz w:val="18"/>
          <w:szCs w:val="18"/>
        </w:rPr>
        <w:t xml:space="preserve">, F. </w:t>
      </w:r>
      <w:proofErr w:type="spellStart"/>
      <w:r>
        <w:rPr>
          <w:sz w:val="18"/>
          <w:szCs w:val="18"/>
        </w:rPr>
        <w:t>Mehryary</w:t>
      </w:r>
      <w:proofErr w:type="spellEnd"/>
      <w:r>
        <w:rPr>
          <w:sz w:val="18"/>
          <w:szCs w:val="18"/>
        </w:rPr>
        <w:t xml:space="preserve">, R. </w:t>
      </w:r>
      <w:proofErr w:type="spellStart"/>
      <w:r>
        <w:rPr>
          <w:sz w:val="18"/>
          <w:szCs w:val="18"/>
        </w:rPr>
        <w:t>Hachilif</w:t>
      </w:r>
      <w:proofErr w:type="spellEnd"/>
      <w:r>
        <w:rPr>
          <w:sz w:val="18"/>
          <w:szCs w:val="18"/>
        </w:rPr>
        <w:t>, et al., The STRING database in 2023: protein-protein association networks and functional enrichment analyses, Nucleic Acids Research 51 (D1) (2023) D638-D646.</w:t>
      </w:r>
    </w:p>
    <w:p w14:paraId="001DB4B8" w14:textId="77777777" w:rsidR="00B67853" w:rsidRDefault="00DD2DA8">
      <w:pPr>
        <w:spacing w:after="30" w:line="230" w:lineRule="auto"/>
        <w:ind w:left="340" w:hanging="340"/>
        <w:jc w:val="both"/>
      </w:pPr>
      <w:r>
        <w:rPr>
          <w:sz w:val="18"/>
          <w:szCs w:val="18"/>
        </w:rPr>
        <w:t xml:space="preserve">[15] M. </w:t>
      </w:r>
      <w:proofErr w:type="spellStart"/>
      <w:r>
        <w:rPr>
          <w:sz w:val="18"/>
          <w:szCs w:val="18"/>
        </w:rPr>
        <w:t>Kanehisa</w:t>
      </w:r>
      <w:proofErr w:type="spellEnd"/>
      <w:r>
        <w:rPr>
          <w:sz w:val="18"/>
          <w:szCs w:val="18"/>
        </w:rPr>
        <w:t xml:space="preserve">, M. </w:t>
      </w:r>
      <w:proofErr w:type="spellStart"/>
      <w:r>
        <w:rPr>
          <w:sz w:val="18"/>
          <w:szCs w:val="18"/>
        </w:rPr>
        <w:t>Furumichi</w:t>
      </w:r>
      <w:proofErr w:type="spellEnd"/>
      <w:r>
        <w:rPr>
          <w:sz w:val="18"/>
          <w:szCs w:val="18"/>
        </w:rPr>
        <w:t>, Y. Sato, M. Kawashima, M. Ishiguro-Watanabe, KEGG for taxonomy-based analysis of pathways and genomes, Nucleic Acids Research 51 (D1) (2023) D587-D592.</w:t>
      </w:r>
    </w:p>
    <w:p w14:paraId="0EAAAD3F" w14:textId="77777777" w:rsidR="00B67853" w:rsidRDefault="00DD2DA8">
      <w:pPr>
        <w:spacing w:after="30" w:line="230" w:lineRule="auto"/>
        <w:ind w:left="340" w:hanging="340"/>
        <w:jc w:val="both"/>
      </w:pPr>
      <w:r>
        <w:rPr>
          <w:sz w:val="18"/>
          <w:szCs w:val="18"/>
        </w:rPr>
        <w:t>[16] C. Guo, G. Pleiss, Y. Sun, K.Q. Weinberger, On calibration of modern neural networks, in: Proc. International Conference on Machine Learning (ICML), 2017, pp. 1321-1330.</w:t>
      </w:r>
    </w:p>
    <w:p w14:paraId="44C4F86B" w14:textId="77777777" w:rsidR="00B67853" w:rsidRDefault="00DD2DA8">
      <w:pPr>
        <w:spacing w:after="30" w:line="230" w:lineRule="auto"/>
        <w:ind w:left="340" w:hanging="340"/>
        <w:jc w:val="both"/>
      </w:pPr>
      <w:r>
        <w:rPr>
          <w:sz w:val="18"/>
          <w:szCs w:val="18"/>
        </w:rPr>
        <w:t>[17] The Cancer Genome Atlas Research Network, The Cancer Genome Atlas Pan-Cancer analysis project, Nature Genetics 45 (10) (2013) 1113-1120.</w:t>
      </w:r>
    </w:p>
    <w:p w14:paraId="537B015C" w14:textId="77777777" w:rsidR="00B67853" w:rsidRDefault="00DD2DA8">
      <w:pPr>
        <w:spacing w:after="30" w:line="230" w:lineRule="auto"/>
        <w:ind w:left="340" w:hanging="340"/>
        <w:jc w:val="both"/>
      </w:pPr>
      <w:r>
        <w:rPr>
          <w:sz w:val="18"/>
          <w:szCs w:val="18"/>
        </w:rPr>
        <w:t>[18] H. Zhang, M. Goodfellow, Y. Bengio, An introduction to deep learning for the physical layer, Computer Methods and Programs in Biomedicine 214 (2022) 106559.</w:t>
      </w:r>
    </w:p>
    <w:p w14:paraId="30F00655" w14:textId="77777777" w:rsidR="00B67853" w:rsidRDefault="00DD2DA8">
      <w:pPr>
        <w:spacing w:after="30" w:line="230" w:lineRule="auto"/>
        <w:ind w:left="340" w:hanging="340"/>
        <w:jc w:val="both"/>
      </w:pPr>
      <w:r>
        <w:rPr>
          <w:sz w:val="18"/>
          <w:szCs w:val="18"/>
        </w:rPr>
        <w:t xml:space="preserve">[19] P. </w:t>
      </w:r>
      <w:proofErr w:type="spellStart"/>
      <w:r>
        <w:rPr>
          <w:sz w:val="18"/>
          <w:szCs w:val="18"/>
        </w:rPr>
        <w:t>Velickovic</w:t>
      </w:r>
      <w:proofErr w:type="spellEnd"/>
      <w:r>
        <w:rPr>
          <w:sz w:val="18"/>
          <w:szCs w:val="18"/>
        </w:rPr>
        <w:t xml:space="preserve">, G. </w:t>
      </w:r>
      <w:proofErr w:type="spellStart"/>
      <w:r>
        <w:rPr>
          <w:sz w:val="18"/>
          <w:szCs w:val="18"/>
        </w:rPr>
        <w:t>Cucurull</w:t>
      </w:r>
      <w:proofErr w:type="spellEnd"/>
      <w:r>
        <w:rPr>
          <w:sz w:val="18"/>
          <w:szCs w:val="18"/>
        </w:rPr>
        <w:t>, A. Casanova, A. Romero, P. Lio, Y. Bengio, Graph attention networks, in: Proc. International Conference on Learning Representations (ICLR), 2018.</w:t>
      </w:r>
    </w:p>
    <w:p w14:paraId="032FB18A" w14:textId="77777777" w:rsidR="00B67853" w:rsidRDefault="00DD2DA8">
      <w:pPr>
        <w:spacing w:after="30" w:line="230" w:lineRule="auto"/>
        <w:ind w:left="340" w:hanging="340"/>
        <w:jc w:val="both"/>
      </w:pPr>
      <w:r>
        <w:rPr>
          <w:sz w:val="18"/>
          <w:szCs w:val="18"/>
        </w:rPr>
        <w:t xml:space="preserve">[20] K. Xu, W. Hu, J. Leskovec, S. </w:t>
      </w:r>
      <w:proofErr w:type="spellStart"/>
      <w:r>
        <w:rPr>
          <w:sz w:val="18"/>
          <w:szCs w:val="18"/>
        </w:rPr>
        <w:t>Jegelka</w:t>
      </w:r>
      <w:proofErr w:type="spellEnd"/>
      <w:r>
        <w:rPr>
          <w:sz w:val="18"/>
          <w:szCs w:val="18"/>
        </w:rPr>
        <w:t xml:space="preserve">, </w:t>
      </w:r>
      <w:proofErr w:type="gramStart"/>
      <w:r>
        <w:rPr>
          <w:sz w:val="18"/>
          <w:szCs w:val="18"/>
        </w:rPr>
        <w:t>How</w:t>
      </w:r>
      <w:proofErr w:type="gramEnd"/>
      <w:r>
        <w:rPr>
          <w:sz w:val="18"/>
          <w:szCs w:val="18"/>
        </w:rPr>
        <w:t xml:space="preserve"> powerful are graph neural </w:t>
      </w:r>
      <w:proofErr w:type="gramStart"/>
      <w:r>
        <w:rPr>
          <w:sz w:val="18"/>
          <w:szCs w:val="18"/>
        </w:rPr>
        <w:t>networks?,</w:t>
      </w:r>
      <w:proofErr w:type="gramEnd"/>
      <w:r>
        <w:rPr>
          <w:sz w:val="18"/>
          <w:szCs w:val="18"/>
        </w:rPr>
        <w:t xml:space="preserve"> in: Proc. International Conference on Learning Representations (ICLR), 2019.</w:t>
      </w:r>
    </w:p>
    <w:p w14:paraId="57BAB99F" w14:textId="77777777" w:rsidR="00B67853" w:rsidRDefault="00DD2DA8">
      <w:pPr>
        <w:spacing w:after="30" w:line="230" w:lineRule="auto"/>
        <w:ind w:left="340" w:hanging="340"/>
        <w:jc w:val="both"/>
      </w:pPr>
      <w:r>
        <w:rPr>
          <w:sz w:val="18"/>
          <w:szCs w:val="18"/>
        </w:rPr>
        <w:t>[21] J. Moon, H. Jeong, C. Lee, MOMA-Net: a multi-omics attention network for cancer subtype prediction, IEEE Journal of Biomedical and Health Informatics 29 (4) (2025) 1841-1852.</w:t>
      </w:r>
    </w:p>
    <w:p w14:paraId="316FF556" w14:textId="77777777" w:rsidR="00B67853" w:rsidRDefault="00DD2DA8">
      <w:pPr>
        <w:spacing w:after="30" w:line="230" w:lineRule="auto"/>
        <w:ind w:left="340" w:hanging="340"/>
        <w:jc w:val="both"/>
      </w:pPr>
      <w:r>
        <w:rPr>
          <w:sz w:val="18"/>
          <w:szCs w:val="18"/>
        </w:rPr>
        <w:t xml:space="preserve">[22] R. Child, S. Gray, A. Radford, I. </w:t>
      </w:r>
      <w:proofErr w:type="spellStart"/>
      <w:r>
        <w:rPr>
          <w:sz w:val="18"/>
          <w:szCs w:val="18"/>
        </w:rPr>
        <w:t>Sutskever</w:t>
      </w:r>
      <w:proofErr w:type="spellEnd"/>
      <w:r>
        <w:rPr>
          <w:sz w:val="18"/>
          <w:szCs w:val="18"/>
        </w:rPr>
        <w:t xml:space="preserve">, Generating long sequences with sparse transformers, </w:t>
      </w:r>
      <w:proofErr w:type="spellStart"/>
      <w:r>
        <w:rPr>
          <w:sz w:val="18"/>
          <w:szCs w:val="18"/>
        </w:rPr>
        <w:t>arXiv</w:t>
      </w:r>
      <w:proofErr w:type="spellEnd"/>
      <w:r>
        <w:rPr>
          <w:sz w:val="18"/>
          <w:szCs w:val="18"/>
        </w:rPr>
        <w:t xml:space="preserve"> preprint arXiv:1904.10509 (2019).</w:t>
      </w:r>
    </w:p>
    <w:p w14:paraId="2F23B64A" w14:textId="77777777" w:rsidR="00B67853" w:rsidRDefault="00DD2DA8">
      <w:pPr>
        <w:spacing w:after="30" w:line="230" w:lineRule="auto"/>
        <w:ind w:left="340" w:hanging="340"/>
        <w:jc w:val="both"/>
      </w:pPr>
      <w:r>
        <w:rPr>
          <w:sz w:val="18"/>
          <w:szCs w:val="18"/>
        </w:rPr>
        <w:t>[23] R.L. Grossman, A.P. Heath, V. Ferretti, H.E. Varmus, D.R. Lowy, W.A. Kibbe, L.M. Staudt, Toward a shared vision for cancer genomic data, New England Journal of Medicine 375 (12) (2016) 1109-1112.</w:t>
      </w:r>
    </w:p>
    <w:p w14:paraId="08150AC1" w14:textId="77777777" w:rsidR="00B67853" w:rsidRDefault="00DD2DA8">
      <w:pPr>
        <w:spacing w:after="30" w:line="230" w:lineRule="auto"/>
        <w:ind w:left="340" w:hanging="340"/>
        <w:jc w:val="both"/>
      </w:pPr>
      <w:r>
        <w:rPr>
          <w:sz w:val="18"/>
          <w:szCs w:val="18"/>
        </w:rPr>
        <w:t>[24] J. Snoek, H. Larochelle, R.P. Adams, Practical Bayesian optimization of machine learning algorithms, in: Advances in Neural Information Processing Systems, Vol. 25, 2012, pp. 2951-2959.</w:t>
      </w:r>
    </w:p>
    <w:p w14:paraId="2A4A47BC" w14:textId="77777777" w:rsidR="00B67853" w:rsidRDefault="00DD2DA8">
      <w:pPr>
        <w:spacing w:after="30" w:line="230" w:lineRule="auto"/>
        <w:ind w:left="340" w:hanging="340"/>
        <w:jc w:val="both"/>
      </w:pPr>
      <w:r>
        <w:rPr>
          <w:sz w:val="18"/>
          <w:szCs w:val="18"/>
        </w:rPr>
        <w:t>[25] E.R. DeLong, D.M. DeLong, D.L. Clarke-Pearson, Comparing the areas under two or more correlated receiver operating characteristic curves: a nonparametric approach, Biometrics 44 (3) (1988) 837-845.</w:t>
      </w:r>
    </w:p>
    <w:p w14:paraId="7EAEC4EB" w14:textId="77777777" w:rsidR="00B67853" w:rsidRDefault="00DD2DA8">
      <w:pPr>
        <w:spacing w:after="30" w:line="230" w:lineRule="auto"/>
        <w:ind w:left="340" w:hanging="340"/>
        <w:jc w:val="both"/>
      </w:pPr>
      <w:r>
        <w:rPr>
          <w:sz w:val="18"/>
          <w:szCs w:val="18"/>
        </w:rPr>
        <w:t xml:space="preserve">[26] S.M. Lundberg, S.-I. Lee, A unified approach to interpreting model predictions, in: Advances in Neural </w:t>
      </w:r>
      <w:r>
        <w:rPr>
          <w:sz w:val="18"/>
          <w:szCs w:val="18"/>
        </w:rPr>
        <w:t>Information Processing Systems, Vol. 30, 2017, pp. 4765-4774.</w:t>
      </w:r>
    </w:p>
    <w:p w14:paraId="11C57278" w14:textId="77777777" w:rsidR="00B67853" w:rsidRDefault="00DD2DA8">
      <w:pPr>
        <w:spacing w:after="30" w:line="230" w:lineRule="auto"/>
        <w:ind w:left="340" w:hanging="340"/>
        <w:jc w:val="both"/>
      </w:pPr>
      <w:r>
        <w:rPr>
          <w:sz w:val="18"/>
          <w:szCs w:val="18"/>
        </w:rPr>
        <w:t>[27] L. Franceschi, M. Niepert, M. Pontil, X. He, Learning discrete structures for graph neural networks, in: Proc. International Conference on Machine Learning (ICML), 2019, pp. 1972-1982.</w:t>
      </w:r>
    </w:p>
    <w:p w14:paraId="5EC52C40" w14:textId="77777777" w:rsidR="00B67853" w:rsidRDefault="00DD2DA8">
      <w:pPr>
        <w:spacing w:after="30" w:line="230" w:lineRule="auto"/>
        <w:ind w:left="340" w:hanging="340"/>
        <w:jc w:val="both"/>
      </w:pPr>
      <w:r>
        <w:rPr>
          <w:sz w:val="18"/>
          <w:szCs w:val="18"/>
        </w:rPr>
        <w:t xml:space="preserve">[28] N. Rieke, J. Hancox, W. Li, F. </w:t>
      </w:r>
      <w:proofErr w:type="spellStart"/>
      <w:r>
        <w:rPr>
          <w:sz w:val="18"/>
          <w:szCs w:val="18"/>
        </w:rPr>
        <w:t>Milletari</w:t>
      </w:r>
      <w:proofErr w:type="spellEnd"/>
      <w:r>
        <w:rPr>
          <w:sz w:val="18"/>
          <w:szCs w:val="18"/>
        </w:rPr>
        <w:t xml:space="preserve">, H.R. Roth, S. </w:t>
      </w:r>
      <w:proofErr w:type="spellStart"/>
      <w:r>
        <w:rPr>
          <w:sz w:val="18"/>
          <w:szCs w:val="18"/>
        </w:rPr>
        <w:t>Albarqouni</w:t>
      </w:r>
      <w:proofErr w:type="spellEnd"/>
      <w:r>
        <w:rPr>
          <w:sz w:val="18"/>
          <w:szCs w:val="18"/>
        </w:rPr>
        <w:t xml:space="preserve">, S. Bakas, et al., The future of digital health with federated learning, </w:t>
      </w:r>
      <w:proofErr w:type="spellStart"/>
      <w:r>
        <w:rPr>
          <w:sz w:val="18"/>
          <w:szCs w:val="18"/>
        </w:rPr>
        <w:t>npj</w:t>
      </w:r>
      <w:proofErr w:type="spellEnd"/>
      <w:r>
        <w:rPr>
          <w:sz w:val="18"/>
          <w:szCs w:val="18"/>
        </w:rPr>
        <w:t xml:space="preserve"> Digital Medicine 3 (1) (2020) 119.</w:t>
      </w:r>
    </w:p>
    <w:sectPr w:rsidR="00B67853" w:rsidSect="00BE36F0">
      <w:type w:val="continuous"/>
      <w:pgSz w:w="11906" w:h="16838"/>
      <w:pgMar w:top="1080" w:right="1080" w:bottom="1440" w:left="1080" w:header="708" w:footer="708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BDCD7B" w14:textId="77777777" w:rsidR="00F237E5" w:rsidRDefault="00F237E5">
      <w:r>
        <w:separator/>
      </w:r>
    </w:p>
  </w:endnote>
  <w:endnote w:type="continuationSeparator" w:id="0">
    <w:p w14:paraId="15BB2CCC" w14:textId="77777777" w:rsidR="00F237E5" w:rsidRDefault="00F237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384E84" w14:textId="77A5A709" w:rsidR="00B67853" w:rsidRDefault="00DD2DA8">
    <w:pPr>
      <w:tabs>
        <w:tab w:val="right" w:pos="9360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030447" w14:textId="77777777" w:rsidR="00F237E5" w:rsidRDefault="00F237E5">
      <w:r>
        <w:separator/>
      </w:r>
    </w:p>
  </w:footnote>
  <w:footnote w:type="continuationSeparator" w:id="0">
    <w:p w14:paraId="7A1BDB43" w14:textId="77777777" w:rsidR="00F237E5" w:rsidRDefault="00F237E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ED7F7D"/>
    <w:multiLevelType w:val="hybridMultilevel"/>
    <w:tmpl w:val="8B0A9250"/>
    <w:lvl w:ilvl="0" w:tplc="82741216">
      <w:start w:val="1"/>
      <w:numFmt w:val="bullet"/>
      <w:lvlText w:val="●"/>
      <w:lvlJc w:val="left"/>
      <w:pPr>
        <w:ind w:left="720" w:hanging="360"/>
      </w:pPr>
    </w:lvl>
    <w:lvl w:ilvl="1" w:tplc="41BA04F4">
      <w:start w:val="1"/>
      <w:numFmt w:val="bullet"/>
      <w:lvlText w:val="○"/>
      <w:lvlJc w:val="left"/>
      <w:pPr>
        <w:ind w:left="1440" w:hanging="360"/>
      </w:pPr>
    </w:lvl>
    <w:lvl w:ilvl="2" w:tplc="82020F74">
      <w:start w:val="1"/>
      <w:numFmt w:val="bullet"/>
      <w:lvlText w:val="■"/>
      <w:lvlJc w:val="left"/>
      <w:pPr>
        <w:ind w:left="2160" w:hanging="360"/>
      </w:pPr>
    </w:lvl>
    <w:lvl w:ilvl="3" w:tplc="12E8A35C">
      <w:start w:val="1"/>
      <w:numFmt w:val="bullet"/>
      <w:lvlText w:val="●"/>
      <w:lvlJc w:val="left"/>
      <w:pPr>
        <w:ind w:left="2880" w:hanging="360"/>
      </w:pPr>
    </w:lvl>
    <w:lvl w:ilvl="4" w:tplc="8084DE16">
      <w:start w:val="1"/>
      <w:numFmt w:val="bullet"/>
      <w:lvlText w:val="○"/>
      <w:lvlJc w:val="left"/>
      <w:pPr>
        <w:ind w:left="3600" w:hanging="360"/>
      </w:pPr>
    </w:lvl>
    <w:lvl w:ilvl="5" w:tplc="9F12DBBC">
      <w:start w:val="1"/>
      <w:numFmt w:val="bullet"/>
      <w:lvlText w:val="■"/>
      <w:lvlJc w:val="left"/>
      <w:pPr>
        <w:ind w:left="4320" w:hanging="360"/>
      </w:pPr>
    </w:lvl>
    <w:lvl w:ilvl="6" w:tplc="45AC4658">
      <w:start w:val="1"/>
      <w:numFmt w:val="bullet"/>
      <w:lvlText w:val="●"/>
      <w:lvlJc w:val="left"/>
      <w:pPr>
        <w:ind w:left="5040" w:hanging="360"/>
      </w:pPr>
    </w:lvl>
    <w:lvl w:ilvl="7" w:tplc="19148068">
      <w:start w:val="1"/>
      <w:numFmt w:val="bullet"/>
      <w:lvlText w:val="●"/>
      <w:lvlJc w:val="left"/>
      <w:pPr>
        <w:ind w:left="5760" w:hanging="360"/>
      </w:pPr>
    </w:lvl>
    <w:lvl w:ilvl="8" w:tplc="B008C46E">
      <w:start w:val="1"/>
      <w:numFmt w:val="bullet"/>
      <w:lvlText w:val="●"/>
      <w:lvlJc w:val="left"/>
      <w:pPr>
        <w:ind w:left="6480" w:hanging="360"/>
      </w:pPr>
    </w:lvl>
  </w:abstractNum>
  <w:num w:numId="1" w16cid:durableId="1687516824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7853"/>
    <w:rsid w:val="0027681D"/>
    <w:rsid w:val="0049621B"/>
    <w:rsid w:val="00610C5C"/>
    <w:rsid w:val="00B67853"/>
    <w:rsid w:val="00BE36F0"/>
    <w:rsid w:val="00DD2DA8"/>
    <w:rsid w:val="00DD751B"/>
    <w:rsid w:val="00E321DB"/>
    <w:rsid w:val="00F237E5"/>
    <w:rsid w:val="00FF4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308465"/>
  <w15:docId w15:val="{C054D43A-A056-42E7-A4D8-497042ADC2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spacing w:before="200" w:after="100"/>
      <w:outlineLvl w:val="0"/>
    </w:pPr>
    <w:rPr>
      <w:b/>
      <w:bCs/>
      <w:color w:val="1A1A1A"/>
      <w:sz w:val="22"/>
      <w:szCs w:val="22"/>
    </w:rPr>
  </w:style>
  <w:style w:type="paragraph" w:styleId="Heading2">
    <w:name w:val="heading 2"/>
    <w:uiPriority w:val="9"/>
    <w:unhideWhenUsed/>
    <w:qFormat/>
    <w:pPr>
      <w:spacing w:before="140" w:after="80"/>
      <w:outlineLvl w:val="1"/>
    </w:pPr>
    <w:rPr>
      <w:i/>
      <w:iCs/>
      <w:color w:val="1A1A1A"/>
      <w:sz w:val="21"/>
      <w:szCs w:val="21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  <w:style w:type="table" w:styleId="GridTable2-Accent1">
    <w:name w:val="Grid Table 2 Accent 1"/>
    <w:basedOn w:val="TableNormal"/>
    <w:uiPriority w:val="47"/>
    <w:rsid w:val="00BE36F0"/>
    <w:tblPr>
      <w:tblStyleRowBandSize w:val="1"/>
      <w:tblStyleColBandSize w:val="1"/>
      <w:tblBorders>
        <w:top w:val="single" w:sz="2" w:space="0" w:color="45B0E1" w:themeColor="accent1" w:themeTint="99"/>
        <w:bottom w:val="single" w:sz="2" w:space="0" w:color="45B0E1" w:themeColor="accent1" w:themeTint="99"/>
        <w:insideH w:val="single" w:sz="2" w:space="0" w:color="45B0E1" w:themeColor="accent1" w:themeTint="99"/>
        <w:insideV w:val="single" w:sz="2" w:space="0" w:color="45B0E1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45B0E1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45B0E1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table" w:styleId="GridTable1Light-Accent1">
    <w:name w:val="Grid Table 1 Light Accent 1"/>
    <w:basedOn w:val="TableNormal"/>
    <w:uiPriority w:val="46"/>
    <w:rsid w:val="00BE36F0"/>
    <w:tblPr>
      <w:tblStyleRowBandSize w:val="1"/>
      <w:tblStyleColBandSize w:val="1"/>
      <w:tblBorders>
        <w:top w:val="single" w:sz="4" w:space="0" w:color="83CAEB" w:themeColor="accent1" w:themeTint="66"/>
        <w:left w:val="single" w:sz="4" w:space="0" w:color="83CAEB" w:themeColor="accent1" w:themeTint="66"/>
        <w:bottom w:val="single" w:sz="4" w:space="0" w:color="83CAEB" w:themeColor="accent1" w:themeTint="66"/>
        <w:right w:val="single" w:sz="4" w:space="0" w:color="83CAEB" w:themeColor="accent1" w:themeTint="66"/>
        <w:insideH w:val="single" w:sz="4" w:space="0" w:color="83CAEB" w:themeColor="accent1" w:themeTint="66"/>
        <w:insideV w:val="single" w:sz="4" w:space="0" w:color="83CAE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45B0E1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5B0E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Header">
    <w:name w:val="header"/>
    <w:basedOn w:val="Normal"/>
    <w:link w:val="HeaderChar"/>
    <w:uiPriority w:val="99"/>
    <w:unhideWhenUsed/>
    <w:rsid w:val="0049621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9621B"/>
  </w:style>
  <w:style w:type="paragraph" w:styleId="Footer">
    <w:name w:val="footer"/>
    <w:basedOn w:val="Normal"/>
    <w:link w:val="FooterChar"/>
    <w:uiPriority w:val="99"/>
    <w:unhideWhenUsed/>
    <w:rsid w:val="0049621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9621B"/>
  </w:style>
  <w:style w:type="character" w:styleId="UnresolvedMention">
    <w:name w:val="Unresolved Mention"/>
    <w:basedOn w:val="DefaultParagraphFont"/>
    <w:uiPriority w:val="99"/>
    <w:semiHidden/>
    <w:unhideWhenUsed/>
    <w:rsid w:val="0049621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2809</Words>
  <Characters>16012</Characters>
  <Application>Microsoft Office Word</Application>
  <DocSecurity>0</DocSecurity>
  <Lines>133</Lines>
  <Paragraphs>37</Paragraphs>
  <ScaleCrop>false</ScaleCrop>
  <Company/>
  <LinksUpToDate>false</LinksUpToDate>
  <CharactersWithSpaces>18784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 hybrid Transformer-Graph Neural Network framework for multi-omics integration in early disease risk prediction</dc:title>
  <dc:creator>Quantum Nexus Academic Publishers</dc:creator>
  <dc:description>Journal of BioDigital Intelligence and Technology</dc:description>
  <cp:lastModifiedBy>Dell</cp:lastModifiedBy>
  <cp:revision>3</cp:revision>
  <dcterms:created xsi:type="dcterms:W3CDTF">2026-04-22T15:38:00Z</dcterms:created>
  <dcterms:modified xsi:type="dcterms:W3CDTF">2026-04-22T15:54:00Z</dcterms:modified>
</cp:coreProperties>
</file>